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1DA" w:rsidRPr="00282C24" w:rsidRDefault="002E61DA" w:rsidP="002E61DA">
      <w:pPr>
        <w:tabs>
          <w:tab w:val="left" w:pos="720"/>
        </w:tabs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Информация о</w:t>
      </w:r>
      <w:r w:rsidRPr="00282C24">
        <w:rPr>
          <w:rFonts w:ascii="Times New Roman" w:hAnsi="Times New Roman" w:cs="Times New Roman"/>
          <w:b/>
          <w:sz w:val="27"/>
          <w:szCs w:val="27"/>
        </w:rPr>
        <w:t xml:space="preserve"> работе с обращениями и приеме граждан</w:t>
      </w:r>
      <w:r>
        <w:rPr>
          <w:rFonts w:ascii="Times New Roman" w:hAnsi="Times New Roman" w:cs="Times New Roman"/>
          <w:b/>
          <w:sz w:val="27"/>
          <w:szCs w:val="27"/>
        </w:rPr>
        <w:t xml:space="preserve"> за 201</w:t>
      </w:r>
      <w:r>
        <w:rPr>
          <w:rFonts w:ascii="Times New Roman" w:hAnsi="Times New Roman" w:cs="Times New Roman"/>
          <w:b/>
          <w:sz w:val="27"/>
          <w:szCs w:val="27"/>
        </w:rPr>
        <w:t>9</w:t>
      </w:r>
      <w:r>
        <w:rPr>
          <w:rFonts w:ascii="Times New Roman" w:hAnsi="Times New Roman" w:cs="Times New Roman"/>
          <w:b/>
          <w:sz w:val="27"/>
          <w:szCs w:val="27"/>
        </w:rPr>
        <w:t xml:space="preserve"> год</w:t>
      </w:r>
    </w:p>
    <w:p w:rsidR="002E61DA" w:rsidRPr="00DF46E2" w:rsidRDefault="002E61DA" w:rsidP="002E61DA">
      <w:pPr>
        <w:tabs>
          <w:tab w:val="left" w:pos="720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E61DA" w:rsidRPr="007D05C2" w:rsidRDefault="002E61DA" w:rsidP="002E61DA">
      <w:pPr>
        <w:autoSpaceDE/>
        <w:autoSpaceDN/>
        <w:adjustRightInd/>
        <w:ind w:firstLine="567"/>
        <w:rPr>
          <w:rFonts w:ascii="Times New Roman" w:hAnsi="Times New Roman" w:cs="Times New Roman"/>
          <w:sz w:val="27"/>
          <w:szCs w:val="27"/>
        </w:rPr>
      </w:pPr>
      <w:r w:rsidRPr="007D05C2">
        <w:rPr>
          <w:rFonts w:ascii="Times New Roman" w:hAnsi="Times New Roman" w:cs="Times New Roman"/>
          <w:sz w:val="27"/>
          <w:szCs w:val="27"/>
        </w:rPr>
        <w:t xml:space="preserve">Институты государственной власти могут эффективно осуществлять свои полномочия только при наличии устойчивой обратной связи с обществом, учете всего спектра интересов и мнений. Одним из таких каналов являются обращения граждан. </w:t>
      </w:r>
    </w:p>
    <w:p w:rsidR="002E61DA" w:rsidRPr="007D05C2" w:rsidRDefault="002E61DA" w:rsidP="002E61DA">
      <w:pPr>
        <w:autoSpaceDE/>
        <w:autoSpaceDN/>
        <w:adjustRightInd/>
        <w:ind w:firstLine="567"/>
        <w:rPr>
          <w:rFonts w:ascii="Times New Roman" w:hAnsi="Times New Roman" w:cs="Times New Roman"/>
          <w:sz w:val="27"/>
          <w:szCs w:val="27"/>
        </w:rPr>
      </w:pPr>
      <w:r w:rsidRPr="007D05C2">
        <w:rPr>
          <w:rFonts w:ascii="Times New Roman" w:hAnsi="Times New Roman" w:cs="Times New Roman"/>
          <w:sz w:val="27"/>
          <w:szCs w:val="27"/>
        </w:rPr>
        <w:t xml:space="preserve">Работа с заявлениями, предложениями и жалобами граждан (далее – обращения граждан) в Законодательном Собрании осуществляется в соответствии с Федеральным законом от 02.05.2006 № 59-ФЗ </w:t>
      </w:r>
      <w:r w:rsidR="00C25AA6">
        <w:rPr>
          <w:rFonts w:ascii="Times New Roman" w:hAnsi="Times New Roman" w:cs="Times New Roman"/>
          <w:sz w:val="27"/>
          <w:szCs w:val="27"/>
        </w:rPr>
        <w:t>«</w:t>
      </w:r>
      <w:r w:rsidRPr="007D05C2">
        <w:rPr>
          <w:rFonts w:ascii="Times New Roman" w:hAnsi="Times New Roman" w:cs="Times New Roman"/>
          <w:sz w:val="27"/>
          <w:szCs w:val="27"/>
        </w:rPr>
        <w:t>О порядке рассмотрения обращений граждан Российской Федерации</w:t>
      </w:r>
      <w:r w:rsidR="00C25AA6">
        <w:rPr>
          <w:rFonts w:ascii="Times New Roman" w:hAnsi="Times New Roman" w:cs="Times New Roman"/>
          <w:sz w:val="27"/>
          <w:szCs w:val="27"/>
        </w:rPr>
        <w:t>»</w:t>
      </w:r>
      <w:r w:rsidRPr="007D05C2">
        <w:rPr>
          <w:rFonts w:ascii="Times New Roman" w:hAnsi="Times New Roman" w:cs="Times New Roman"/>
          <w:sz w:val="27"/>
          <w:szCs w:val="27"/>
        </w:rPr>
        <w:t xml:space="preserve">, Инструкцией о порядке рассмотрения обращений граждан и организации личного приема граждан в Законодательном Собрании. </w:t>
      </w:r>
    </w:p>
    <w:p w:rsidR="002E61DA" w:rsidRPr="007D05C2" w:rsidRDefault="002E61DA" w:rsidP="002E61DA">
      <w:pPr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D05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требованиями Федерального закона от </w:t>
      </w:r>
      <w:smartTag w:uri="urn:schemas-microsoft-com:office:smarttags" w:element="date">
        <w:smartTagPr>
          <w:attr w:name="Year" w:val="2009"/>
          <w:attr w:name="Day" w:val="09"/>
          <w:attr w:name="Month" w:val="2"/>
          <w:attr w:name="ls" w:val="trans"/>
        </w:smartTagPr>
        <w:r w:rsidRPr="007D05C2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09.02.2009</w:t>
        </w:r>
      </w:smartTag>
      <w:r w:rsidRPr="007D05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8-ФЗ </w:t>
      </w:r>
      <w:r w:rsidR="00C25AA6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Pr="007D05C2">
        <w:rPr>
          <w:rFonts w:ascii="Times New Roman" w:eastAsia="Times New Roman" w:hAnsi="Times New Roman" w:cs="Times New Roman"/>
          <w:sz w:val="27"/>
          <w:szCs w:val="27"/>
          <w:lang w:eastAsia="ru-RU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C25AA6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7D05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официальном сайте Законодательного Собрания размещена подробная информация о порядке рассмотрения обращений граждан и организации личного приема граждан депутатами. </w:t>
      </w:r>
    </w:p>
    <w:p w:rsidR="002E61DA" w:rsidRPr="007D05C2" w:rsidRDefault="002E61DA" w:rsidP="002E61DA">
      <w:pPr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D05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Для более расширенного диалога с населением на сайте Законодательного Собрания обеспечена возможность подачи обращений в электронном виде через интернет-приемную. На </w:t>
      </w:r>
      <w:r w:rsidRPr="007D05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информационном стенде в холле первого этажа здания Правительства Камчатского края</w:t>
      </w:r>
      <w:r w:rsidRPr="007D05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установлен специализированный почтовый ящик для подачи письменных обращений граждан, также обеспечена возможность обратиться к депутатам Законодательного Собрания в любое время по </w:t>
      </w:r>
      <w:r w:rsidRPr="007D05C2">
        <w:rPr>
          <w:rFonts w:ascii="Times New Roman" w:eastAsia="Calibri" w:hAnsi="Times New Roman" w:cs="Times New Roman"/>
          <w:sz w:val="27"/>
          <w:szCs w:val="27"/>
          <w:lang w:eastAsia="ru-RU"/>
        </w:rPr>
        <w:t>телефону доверия (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8 4152 </w:t>
      </w:r>
      <w:r w:rsidRPr="007D05C2">
        <w:rPr>
          <w:rFonts w:ascii="Times New Roman" w:eastAsia="Calibri" w:hAnsi="Times New Roman" w:cs="Times New Roman"/>
          <w:sz w:val="27"/>
          <w:szCs w:val="27"/>
          <w:lang w:eastAsia="ru-RU"/>
        </w:rPr>
        <w:t>42-17-84)</w:t>
      </w:r>
      <w:r w:rsidRPr="007D05C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2E61DA" w:rsidRPr="007D05C2" w:rsidRDefault="002E61DA" w:rsidP="002E61DA">
      <w:pPr>
        <w:autoSpaceDE/>
        <w:autoSpaceDN/>
        <w:adjustRightInd/>
        <w:ind w:firstLine="567"/>
        <w:rPr>
          <w:rFonts w:ascii="Times New Roman" w:hAnsi="Times New Roman" w:cs="Times New Roman"/>
          <w:sz w:val="27"/>
          <w:szCs w:val="27"/>
        </w:rPr>
      </w:pPr>
      <w:r w:rsidRPr="007D05C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 целях совершенствования работы с обращениями граждан Законодательное Собрание уделяет особое внимание анализу и систематизации вопросов, содержащихся в обращениях граждан, а также данных о количестве, характере обращений и принятых по ним решениям.</w:t>
      </w:r>
    </w:p>
    <w:p w:rsidR="002E61DA" w:rsidRPr="007D05C2" w:rsidRDefault="002E61DA" w:rsidP="002E61DA">
      <w:pPr>
        <w:shd w:val="clear" w:color="auto" w:fill="FFFFFF"/>
        <w:autoSpaceDE/>
        <w:autoSpaceDN/>
        <w:adjustRightInd/>
        <w:ind w:firstLine="567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7D05C2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За 2019 год к депутатам Законодательного Собрания поступило 427 обращений, из которых: 384 (90%) – индивидуальные, 43 (10%) – коллективные обращения. В письменной форме поступило 319 (75%) обращений, в электронной форме – 73 (17%). В устной форме изложено 35 (8%) обращений. Из общего количества поступивших обращений по содержанию преобладали заявления – 389 (91%). Предложений поступило – 24 (6%), жалоб – 14 (3%). </w:t>
      </w:r>
      <w:r w:rsidRPr="007D05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Посредством почтовой связи поступило 246 (58%) обращений; в ходе личных приемов граждан депутатами – 89 (21%), из них: в письменной форме поступило 56 (63%), в устной форме – 33 (37%); по адресу электронной почты </w:t>
      </w:r>
      <w:r w:rsidRPr="007D05C2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hyperlink r:id="rId4" w:history="1">
        <w:r w:rsidRPr="007D05C2">
          <w:rPr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og</w:t>
        </w:r>
        <w:r w:rsidRPr="007D05C2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@</w:t>
        </w:r>
        <w:r w:rsidRPr="007D05C2">
          <w:rPr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zaksobr</w:t>
        </w:r>
        <w:r w:rsidRPr="007D05C2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.</w:t>
        </w:r>
        <w:r w:rsidRPr="007D05C2">
          <w:rPr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kamchatka</w:t>
        </w:r>
        <w:r w:rsidRPr="007D05C2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.</w:t>
        </w:r>
        <w:proofErr w:type="spellStart"/>
        <w:r w:rsidRPr="007D05C2">
          <w:rPr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ru</w:t>
        </w:r>
        <w:proofErr w:type="spellEnd"/>
      </w:hyperlink>
      <w:r w:rsidRPr="007D05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– 73 (17%); </w:t>
      </w:r>
      <w:r w:rsidRPr="007D05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через специализированный почтовый ящик для обращений граждан </w:t>
      </w:r>
      <w:r w:rsidRPr="007D05C2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– 17 (4%); по телефону доверия – 2 (0,5%). </w:t>
      </w:r>
    </w:p>
    <w:p w:rsidR="002E61DA" w:rsidRPr="007D05C2" w:rsidRDefault="002E61DA" w:rsidP="002E61DA">
      <w:pPr>
        <w:tabs>
          <w:tab w:val="left" w:pos="0"/>
        </w:tabs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7D05C2">
        <w:rPr>
          <w:rFonts w:asciiTheme="minorHAnsi" w:hAnsiTheme="minorHAnsi" w:cstheme="minorBidi"/>
          <w:noProof/>
          <w:color w:val="FFFF00"/>
          <w:sz w:val="22"/>
          <w:szCs w:val="22"/>
          <w:lang w:eastAsia="ru-RU"/>
        </w:rPr>
        <w:lastRenderedPageBreak/>
        <w:drawing>
          <wp:inline distT="0" distB="0" distL="0" distR="0" wp14:anchorId="1C79B0C1" wp14:editId="037E8DB8">
            <wp:extent cx="6173470" cy="2253872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E61DA" w:rsidRPr="007D05C2" w:rsidRDefault="002E61DA" w:rsidP="002E61DA">
      <w:pPr>
        <w:tabs>
          <w:tab w:val="left" w:pos="0"/>
        </w:tabs>
        <w:autoSpaceDE/>
        <w:autoSpaceDN/>
        <w:adjustRightInd/>
        <w:ind w:firstLine="567"/>
        <w:rPr>
          <w:rFonts w:ascii="Times New Roman" w:eastAsia="Calibri" w:hAnsi="Times New Roman" w:cs="Times New Roman"/>
          <w:sz w:val="27"/>
          <w:szCs w:val="27"/>
        </w:rPr>
      </w:pPr>
      <w:r w:rsidRPr="007D05C2">
        <w:rPr>
          <w:rFonts w:ascii="Times New Roman" w:eastAsia="Calibri" w:hAnsi="Times New Roman" w:cs="Times New Roman"/>
          <w:sz w:val="27"/>
          <w:szCs w:val="27"/>
        </w:rPr>
        <w:t xml:space="preserve">Зарегистрированные </w:t>
      </w:r>
      <w:r w:rsidRPr="00B03734">
        <w:rPr>
          <w:rFonts w:ascii="Times New Roman" w:eastAsia="Calibri" w:hAnsi="Times New Roman" w:cs="Times New Roman"/>
          <w:sz w:val="27"/>
          <w:szCs w:val="27"/>
        </w:rPr>
        <w:t>обращения граждан</w:t>
      </w:r>
      <w:r w:rsidRPr="007D05C2">
        <w:rPr>
          <w:rFonts w:ascii="Times New Roman" w:eastAsia="Calibri" w:hAnsi="Times New Roman" w:cs="Times New Roman"/>
          <w:sz w:val="27"/>
          <w:szCs w:val="27"/>
        </w:rPr>
        <w:t xml:space="preserve"> в отчетном периоде поступили и рассмотрены:</w:t>
      </w:r>
    </w:p>
    <w:p w:rsidR="002E61DA" w:rsidRPr="007D05C2" w:rsidRDefault="002E61DA" w:rsidP="002E61DA">
      <w:pPr>
        <w:tabs>
          <w:tab w:val="left" w:pos="0"/>
        </w:tabs>
        <w:autoSpaceDE/>
        <w:autoSpaceDN/>
        <w:adjustRightInd/>
        <w:ind w:firstLine="567"/>
        <w:rPr>
          <w:rFonts w:ascii="Times New Roman" w:eastAsia="Calibri" w:hAnsi="Times New Roman" w:cs="Times New Roman"/>
          <w:sz w:val="27"/>
          <w:szCs w:val="27"/>
        </w:rPr>
      </w:pPr>
      <w:r w:rsidRPr="007D05C2">
        <w:rPr>
          <w:rFonts w:ascii="Times New Roman" w:eastAsia="Calibri" w:hAnsi="Times New Roman" w:cs="Times New Roman"/>
          <w:sz w:val="27"/>
          <w:szCs w:val="27"/>
        </w:rPr>
        <w:t>- председателем Законодательного Собрания (Раенко В.Ф.) – 53 обращения (из них 18 обращений поступило в ходе личного приема: 15 – в письменной форме и 3 – в устной форме);</w:t>
      </w:r>
    </w:p>
    <w:p w:rsidR="002E61DA" w:rsidRPr="007D05C2" w:rsidRDefault="002E61DA" w:rsidP="002E61DA">
      <w:pPr>
        <w:tabs>
          <w:tab w:val="left" w:pos="0"/>
        </w:tabs>
        <w:autoSpaceDE/>
        <w:autoSpaceDN/>
        <w:adjustRightInd/>
        <w:ind w:firstLine="567"/>
        <w:rPr>
          <w:rFonts w:ascii="Times New Roman" w:eastAsia="Calibri" w:hAnsi="Times New Roman" w:cs="Times New Roman"/>
          <w:sz w:val="27"/>
          <w:szCs w:val="27"/>
        </w:rPr>
      </w:pPr>
      <w:r w:rsidRPr="007D05C2">
        <w:rPr>
          <w:rFonts w:ascii="Times New Roman" w:eastAsia="Calibri" w:hAnsi="Times New Roman" w:cs="Times New Roman"/>
          <w:sz w:val="27"/>
          <w:szCs w:val="27"/>
        </w:rPr>
        <w:t>- первым заместителем председателя Законодательного Собрания (Копыловым А.А.) – 37 обращений (из них 24 обращения поступили в ходе личного приема: 22 – в письменной форме, 2 – в устной форме);</w:t>
      </w:r>
    </w:p>
    <w:p w:rsidR="002E61DA" w:rsidRPr="007D05C2" w:rsidRDefault="002E61DA" w:rsidP="002E61DA">
      <w:pPr>
        <w:tabs>
          <w:tab w:val="left" w:pos="0"/>
        </w:tabs>
        <w:autoSpaceDE/>
        <w:autoSpaceDN/>
        <w:adjustRightInd/>
        <w:ind w:firstLine="567"/>
        <w:rPr>
          <w:rFonts w:ascii="Times New Roman" w:eastAsia="Calibri" w:hAnsi="Times New Roman" w:cs="Times New Roman"/>
          <w:sz w:val="27"/>
          <w:szCs w:val="27"/>
        </w:rPr>
      </w:pPr>
      <w:r w:rsidRPr="007D05C2">
        <w:rPr>
          <w:rFonts w:ascii="Times New Roman" w:eastAsia="Calibri" w:hAnsi="Times New Roman" w:cs="Times New Roman"/>
          <w:sz w:val="27"/>
          <w:szCs w:val="27"/>
        </w:rPr>
        <w:t>- заместителем председателя Законодательного Собрания – председателем постоянного комитета по природопользованию, аграрной политике и экологической безопасности (Гранатовым Р.Г.) – 19 обращений;</w:t>
      </w:r>
    </w:p>
    <w:p w:rsidR="002E61DA" w:rsidRPr="007D05C2" w:rsidRDefault="002E61DA" w:rsidP="002E61DA">
      <w:pPr>
        <w:tabs>
          <w:tab w:val="left" w:pos="0"/>
        </w:tabs>
        <w:autoSpaceDE/>
        <w:autoSpaceDN/>
        <w:adjustRightInd/>
        <w:ind w:firstLine="567"/>
        <w:rPr>
          <w:rFonts w:ascii="Times New Roman" w:eastAsia="Calibri" w:hAnsi="Times New Roman" w:cs="Times New Roman"/>
          <w:sz w:val="27"/>
          <w:szCs w:val="27"/>
        </w:rPr>
      </w:pPr>
      <w:r w:rsidRPr="007D05C2">
        <w:rPr>
          <w:rFonts w:ascii="Times New Roman" w:eastAsia="Calibri" w:hAnsi="Times New Roman" w:cs="Times New Roman"/>
          <w:sz w:val="27"/>
          <w:szCs w:val="27"/>
        </w:rPr>
        <w:t>- заместителем председателя Законодательного Собрания – председателем постоянного комитета по строительству, транспорту, энергетики и вопросам жилищно-коммунального хозяйства (Чуевым Б.Н.) – 20 обращений;</w:t>
      </w:r>
    </w:p>
    <w:p w:rsidR="002E61DA" w:rsidRPr="007D05C2" w:rsidRDefault="002E61DA" w:rsidP="002E61DA">
      <w:pPr>
        <w:tabs>
          <w:tab w:val="left" w:pos="0"/>
        </w:tabs>
        <w:autoSpaceDE/>
        <w:autoSpaceDN/>
        <w:adjustRightInd/>
        <w:ind w:firstLine="567"/>
        <w:rPr>
          <w:rFonts w:ascii="Times New Roman" w:eastAsia="Calibri" w:hAnsi="Times New Roman" w:cs="Times New Roman"/>
          <w:sz w:val="27"/>
          <w:szCs w:val="27"/>
        </w:rPr>
      </w:pPr>
      <w:r w:rsidRPr="007D05C2">
        <w:rPr>
          <w:rFonts w:ascii="Times New Roman" w:eastAsia="Calibri" w:hAnsi="Times New Roman" w:cs="Times New Roman"/>
          <w:sz w:val="27"/>
          <w:szCs w:val="27"/>
        </w:rPr>
        <w:t xml:space="preserve">- депутатами постоянного </w:t>
      </w:r>
      <w:r>
        <w:rPr>
          <w:rFonts w:ascii="Times New Roman" w:eastAsia="Calibri" w:hAnsi="Times New Roman" w:cs="Times New Roman"/>
          <w:sz w:val="27"/>
          <w:szCs w:val="27"/>
        </w:rPr>
        <w:t xml:space="preserve">комитета </w:t>
      </w:r>
      <w:r w:rsidRPr="007D05C2">
        <w:rPr>
          <w:rFonts w:ascii="Times New Roman" w:eastAsia="Calibri" w:hAnsi="Times New Roman" w:cs="Times New Roman"/>
          <w:sz w:val="27"/>
          <w:szCs w:val="27"/>
        </w:rPr>
        <w:t xml:space="preserve">по социальной политике – 77 (Ткаченко Т.В. – 27 (из них 3 обращения поступили в ходе личного приема: 1 – в письменной форме, 2 – в устной форме); Галянт С.А. – 28 (из них 1 устное обращение, поступившее в ходе личного приема); Калашниковым В.Ю. – 22); </w:t>
      </w:r>
    </w:p>
    <w:p w:rsidR="002E61DA" w:rsidRPr="007D05C2" w:rsidRDefault="002E61DA" w:rsidP="002E61DA">
      <w:pPr>
        <w:tabs>
          <w:tab w:val="left" w:pos="0"/>
        </w:tabs>
        <w:autoSpaceDE/>
        <w:autoSpaceDN/>
        <w:adjustRightInd/>
        <w:ind w:firstLine="567"/>
        <w:rPr>
          <w:rFonts w:ascii="Times New Roman" w:eastAsia="Calibri" w:hAnsi="Times New Roman" w:cs="Times New Roman"/>
          <w:sz w:val="27"/>
          <w:szCs w:val="27"/>
        </w:rPr>
      </w:pPr>
      <w:r w:rsidRPr="007D05C2">
        <w:rPr>
          <w:rFonts w:ascii="Times New Roman" w:eastAsia="Calibri" w:hAnsi="Times New Roman" w:cs="Times New Roman"/>
          <w:sz w:val="27"/>
          <w:szCs w:val="27"/>
        </w:rPr>
        <w:t xml:space="preserve">- депутатами постоянного комитета по строительству, транспорту, энергетики и вопросам жилищно-коммунального хозяйства – 75 (Кирносенко А.В. – 65 (из них 37 обращений поступили в ходе личного приема: 18 – в письменной форме, 19 – в устной форме); </w:t>
      </w:r>
      <w:proofErr w:type="spellStart"/>
      <w:r w:rsidRPr="007D05C2">
        <w:rPr>
          <w:rFonts w:ascii="Times New Roman" w:eastAsia="Calibri" w:hAnsi="Times New Roman" w:cs="Times New Roman"/>
          <w:sz w:val="27"/>
          <w:szCs w:val="27"/>
        </w:rPr>
        <w:t>Стуковым</w:t>
      </w:r>
      <w:proofErr w:type="spellEnd"/>
      <w:r w:rsidRPr="007D05C2">
        <w:rPr>
          <w:rFonts w:ascii="Times New Roman" w:eastAsia="Calibri" w:hAnsi="Times New Roman" w:cs="Times New Roman"/>
          <w:sz w:val="27"/>
          <w:szCs w:val="27"/>
        </w:rPr>
        <w:t xml:space="preserve"> А.Ю. – 10 (2 из которых поступили в устной форме по телефону доверия);</w:t>
      </w:r>
    </w:p>
    <w:p w:rsidR="002E61DA" w:rsidRPr="007D05C2" w:rsidRDefault="002E61DA" w:rsidP="002E61DA">
      <w:pPr>
        <w:tabs>
          <w:tab w:val="left" w:pos="0"/>
        </w:tabs>
        <w:autoSpaceDE/>
        <w:autoSpaceDN/>
        <w:adjustRightInd/>
        <w:ind w:firstLine="567"/>
        <w:rPr>
          <w:rFonts w:ascii="Times New Roman" w:eastAsia="Calibri" w:hAnsi="Times New Roman" w:cs="Times New Roman"/>
          <w:sz w:val="27"/>
          <w:szCs w:val="27"/>
        </w:rPr>
      </w:pPr>
      <w:r w:rsidRPr="007D05C2">
        <w:rPr>
          <w:rFonts w:ascii="Times New Roman" w:eastAsia="Calibri" w:hAnsi="Times New Roman" w:cs="Times New Roman"/>
          <w:sz w:val="27"/>
          <w:szCs w:val="27"/>
        </w:rPr>
        <w:t>- депутатами постоянного комитета по вопросам государственного строительства, местного самоуправления и гармонизации межнациональных отношений – 49 (</w:t>
      </w:r>
      <w:proofErr w:type="spellStart"/>
      <w:r w:rsidRPr="007D05C2">
        <w:rPr>
          <w:rFonts w:ascii="Times New Roman" w:eastAsia="Calibri" w:hAnsi="Times New Roman" w:cs="Times New Roman"/>
          <w:sz w:val="27"/>
          <w:szCs w:val="27"/>
        </w:rPr>
        <w:t>Лимановым</w:t>
      </w:r>
      <w:proofErr w:type="spellEnd"/>
      <w:r w:rsidRPr="007D05C2">
        <w:rPr>
          <w:rFonts w:ascii="Times New Roman" w:eastAsia="Calibri" w:hAnsi="Times New Roman" w:cs="Times New Roman"/>
          <w:sz w:val="27"/>
          <w:szCs w:val="27"/>
        </w:rPr>
        <w:t xml:space="preserve"> А.С. – 13; Романовой Т.Ф. – 36 (из них 4 обращения поступили в устной форме в ходе личного приема);</w:t>
      </w:r>
    </w:p>
    <w:p w:rsidR="002E61DA" w:rsidRPr="007D05C2" w:rsidRDefault="002E61DA" w:rsidP="002E61DA">
      <w:pPr>
        <w:tabs>
          <w:tab w:val="left" w:pos="0"/>
        </w:tabs>
        <w:autoSpaceDE/>
        <w:autoSpaceDN/>
        <w:adjustRightInd/>
        <w:ind w:firstLine="567"/>
        <w:rPr>
          <w:rFonts w:ascii="Times New Roman" w:eastAsia="Calibri" w:hAnsi="Times New Roman" w:cs="Times New Roman"/>
          <w:sz w:val="27"/>
          <w:szCs w:val="27"/>
        </w:rPr>
      </w:pPr>
      <w:r w:rsidRPr="007D05C2">
        <w:rPr>
          <w:rFonts w:ascii="Times New Roman" w:eastAsia="Calibri" w:hAnsi="Times New Roman" w:cs="Times New Roman"/>
          <w:sz w:val="27"/>
          <w:szCs w:val="27"/>
        </w:rPr>
        <w:t xml:space="preserve">- депутатами постоянного комитета по бюджетной, налоговой, экономической политике, вопросам собственности и предпринимательства – 21 (Ермоленко Е.Н. – 9; Агеевым В.А. – 7 (из них 1 устное обращение, поступившее в ходе личного приема); </w:t>
      </w:r>
      <w:proofErr w:type="spellStart"/>
      <w:r w:rsidRPr="007D05C2">
        <w:rPr>
          <w:rFonts w:ascii="Times New Roman" w:eastAsia="Calibri" w:hAnsi="Times New Roman" w:cs="Times New Roman"/>
          <w:sz w:val="27"/>
          <w:szCs w:val="27"/>
        </w:rPr>
        <w:t>Шамояном</w:t>
      </w:r>
      <w:proofErr w:type="spellEnd"/>
      <w:r w:rsidRPr="007D05C2">
        <w:rPr>
          <w:rFonts w:ascii="Times New Roman" w:eastAsia="Calibri" w:hAnsi="Times New Roman" w:cs="Times New Roman"/>
          <w:sz w:val="27"/>
          <w:szCs w:val="27"/>
        </w:rPr>
        <w:t xml:space="preserve"> Р.Ф. – 5);</w:t>
      </w:r>
    </w:p>
    <w:p w:rsidR="002E61DA" w:rsidRPr="007D05C2" w:rsidRDefault="002E61DA" w:rsidP="002E61DA">
      <w:pPr>
        <w:tabs>
          <w:tab w:val="left" w:pos="0"/>
        </w:tabs>
        <w:autoSpaceDE/>
        <w:autoSpaceDN/>
        <w:adjustRightInd/>
        <w:ind w:firstLine="567"/>
        <w:rPr>
          <w:rFonts w:ascii="Times New Roman" w:eastAsia="Calibri" w:hAnsi="Times New Roman" w:cs="Times New Roman"/>
          <w:sz w:val="27"/>
          <w:szCs w:val="27"/>
        </w:rPr>
      </w:pPr>
      <w:r w:rsidRPr="007D05C2">
        <w:rPr>
          <w:rFonts w:ascii="Times New Roman" w:eastAsia="Calibri" w:hAnsi="Times New Roman" w:cs="Times New Roman"/>
          <w:sz w:val="27"/>
          <w:szCs w:val="27"/>
        </w:rPr>
        <w:t>- депутатами постоянного комитета по природопользованию, аграрной политике и экологической безопасности – 4 (Смагиным М.В. – 3; Волковым К.С. – 1);</w:t>
      </w:r>
    </w:p>
    <w:p w:rsidR="002E61DA" w:rsidRPr="007D05C2" w:rsidRDefault="002E61DA" w:rsidP="002E61DA">
      <w:pPr>
        <w:tabs>
          <w:tab w:val="left" w:pos="0"/>
        </w:tabs>
        <w:autoSpaceDE/>
        <w:autoSpaceDN/>
        <w:adjustRightInd/>
        <w:ind w:firstLine="567"/>
        <w:rPr>
          <w:rFonts w:ascii="Times New Roman" w:eastAsia="Calibri" w:hAnsi="Times New Roman" w:cs="Times New Roman"/>
          <w:sz w:val="27"/>
          <w:szCs w:val="27"/>
        </w:rPr>
      </w:pPr>
      <w:r w:rsidRPr="007D05C2">
        <w:rPr>
          <w:rFonts w:ascii="Times New Roman" w:eastAsia="Calibri" w:hAnsi="Times New Roman" w:cs="Times New Roman"/>
          <w:sz w:val="27"/>
          <w:szCs w:val="27"/>
        </w:rPr>
        <w:lastRenderedPageBreak/>
        <w:t xml:space="preserve">- депутатами, осуществляющими свою деятельность не на профессиональной основе, – 71 обращение, из них: </w:t>
      </w:r>
      <w:r w:rsidRPr="007D05C2">
        <w:rPr>
          <w:rFonts w:ascii="Times New Roman" w:eastAsia="Calibri" w:hAnsi="Times New Roman" w:cs="Times New Roman"/>
          <w:i/>
          <w:sz w:val="27"/>
          <w:szCs w:val="27"/>
        </w:rPr>
        <w:t>депутатами по единому краевому избирательному округу</w:t>
      </w:r>
      <w:r w:rsidRPr="007D05C2">
        <w:rPr>
          <w:rFonts w:ascii="Times New Roman" w:eastAsia="Calibri" w:hAnsi="Times New Roman" w:cs="Times New Roman"/>
          <w:sz w:val="27"/>
          <w:szCs w:val="27"/>
        </w:rPr>
        <w:t xml:space="preserve"> – 54 (от Всероссийской политической партии </w:t>
      </w:r>
      <w:r w:rsidR="00C25AA6">
        <w:rPr>
          <w:rFonts w:ascii="Times New Roman" w:eastAsia="Calibri" w:hAnsi="Times New Roman" w:cs="Times New Roman"/>
          <w:sz w:val="27"/>
          <w:szCs w:val="27"/>
        </w:rPr>
        <w:t>«</w:t>
      </w:r>
      <w:r w:rsidRPr="007D05C2">
        <w:rPr>
          <w:rFonts w:ascii="Times New Roman" w:eastAsia="Calibri" w:hAnsi="Times New Roman" w:cs="Times New Roman"/>
          <w:sz w:val="27"/>
          <w:szCs w:val="27"/>
        </w:rPr>
        <w:t>ЕДИНАЯ РОССИЯ</w:t>
      </w:r>
      <w:r w:rsidR="00C25AA6">
        <w:rPr>
          <w:rFonts w:ascii="Times New Roman" w:eastAsia="Calibri" w:hAnsi="Times New Roman" w:cs="Times New Roman"/>
          <w:sz w:val="27"/>
          <w:szCs w:val="27"/>
        </w:rPr>
        <w:t>»</w:t>
      </w:r>
      <w:r w:rsidRPr="007D05C2">
        <w:rPr>
          <w:rFonts w:ascii="Times New Roman" w:eastAsia="Calibri" w:hAnsi="Times New Roman" w:cs="Times New Roman"/>
          <w:sz w:val="27"/>
          <w:szCs w:val="27"/>
        </w:rPr>
        <w:t xml:space="preserve">: </w:t>
      </w:r>
      <w:proofErr w:type="spellStart"/>
      <w:r w:rsidRPr="007D05C2">
        <w:rPr>
          <w:rFonts w:ascii="Times New Roman" w:eastAsia="Calibri" w:hAnsi="Times New Roman" w:cs="Times New Roman"/>
          <w:sz w:val="27"/>
          <w:szCs w:val="27"/>
        </w:rPr>
        <w:t>Новоселовым</w:t>
      </w:r>
      <w:proofErr w:type="spellEnd"/>
      <w:r w:rsidRPr="007D05C2">
        <w:rPr>
          <w:rFonts w:ascii="Times New Roman" w:eastAsia="Calibri" w:hAnsi="Times New Roman" w:cs="Times New Roman"/>
          <w:sz w:val="27"/>
          <w:szCs w:val="27"/>
        </w:rPr>
        <w:t xml:space="preserve"> Е.А. – 3, Тимофеевым Д.Р. – 5, Редькиным И.В. – 3, от Политической партии </w:t>
      </w:r>
      <w:r w:rsidR="00C25AA6">
        <w:rPr>
          <w:rFonts w:ascii="Times New Roman" w:eastAsia="Calibri" w:hAnsi="Times New Roman" w:cs="Times New Roman"/>
          <w:sz w:val="27"/>
          <w:szCs w:val="27"/>
        </w:rPr>
        <w:t>«</w:t>
      </w:r>
      <w:r w:rsidRPr="007D05C2">
        <w:rPr>
          <w:rFonts w:ascii="Times New Roman" w:eastAsia="Calibri" w:hAnsi="Times New Roman" w:cs="Times New Roman"/>
          <w:sz w:val="27"/>
          <w:szCs w:val="27"/>
        </w:rPr>
        <w:t>Справедливая Россия</w:t>
      </w:r>
      <w:r w:rsidR="00C25AA6">
        <w:rPr>
          <w:rFonts w:ascii="Times New Roman" w:eastAsia="Calibri" w:hAnsi="Times New Roman" w:cs="Times New Roman"/>
          <w:sz w:val="27"/>
          <w:szCs w:val="27"/>
        </w:rPr>
        <w:t>»</w:t>
      </w:r>
      <w:r w:rsidRPr="007D05C2">
        <w:rPr>
          <w:rFonts w:ascii="Times New Roman" w:eastAsia="Calibri" w:hAnsi="Times New Roman" w:cs="Times New Roman"/>
          <w:sz w:val="27"/>
          <w:szCs w:val="27"/>
        </w:rPr>
        <w:t xml:space="preserve"> (</w:t>
      </w:r>
      <w:proofErr w:type="spellStart"/>
      <w:r w:rsidRPr="007D05C2">
        <w:rPr>
          <w:rFonts w:ascii="Times New Roman" w:eastAsia="Calibri" w:hAnsi="Times New Roman" w:cs="Times New Roman"/>
          <w:sz w:val="27"/>
          <w:szCs w:val="27"/>
        </w:rPr>
        <w:t>Пучковским</w:t>
      </w:r>
      <w:proofErr w:type="spellEnd"/>
      <w:r w:rsidRPr="007D05C2">
        <w:rPr>
          <w:rFonts w:ascii="Times New Roman" w:eastAsia="Calibri" w:hAnsi="Times New Roman" w:cs="Times New Roman"/>
          <w:sz w:val="27"/>
          <w:szCs w:val="27"/>
        </w:rPr>
        <w:t xml:space="preserve"> М.Л.) – 2; от Политической партии </w:t>
      </w:r>
      <w:r w:rsidR="00C25AA6">
        <w:rPr>
          <w:rFonts w:ascii="Times New Roman" w:eastAsia="Calibri" w:hAnsi="Times New Roman" w:cs="Times New Roman"/>
          <w:sz w:val="27"/>
          <w:szCs w:val="27"/>
        </w:rPr>
        <w:t>«</w:t>
      </w:r>
      <w:r w:rsidRPr="007D05C2">
        <w:rPr>
          <w:rFonts w:ascii="Times New Roman" w:eastAsia="Calibri" w:hAnsi="Times New Roman" w:cs="Times New Roman"/>
          <w:sz w:val="27"/>
          <w:szCs w:val="27"/>
        </w:rPr>
        <w:t>ЛДПР – Либерально-демократическая партия России</w:t>
      </w:r>
      <w:r w:rsidR="00C25AA6">
        <w:rPr>
          <w:rFonts w:ascii="Times New Roman" w:eastAsia="Calibri" w:hAnsi="Times New Roman" w:cs="Times New Roman"/>
          <w:sz w:val="27"/>
          <w:szCs w:val="27"/>
        </w:rPr>
        <w:t>»</w:t>
      </w:r>
      <w:r w:rsidRPr="007D05C2">
        <w:rPr>
          <w:rFonts w:ascii="Times New Roman" w:eastAsia="Calibri" w:hAnsi="Times New Roman" w:cs="Times New Roman"/>
          <w:sz w:val="27"/>
          <w:szCs w:val="27"/>
        </w:rPr>
        <w:t xml:space="preserve">: </w:t>
      </w:r>
      <w:proofErr w:type="spellStart"/>
      <w:r w:rsidRPr="007D05C2">
        <w:rPr>
          <w:rFonts w:ascii="Times New Roman" w:eastAsia="Calibri" w:hAnsi="Times New Roman" w:cs="Times New Roman"/>
          <w:sz w:val="27"/>
          <w:szCs w:val="27"/>
        </w:rPr>
        <w:t>Миловановой</w:t>
      </w:r>
      <w:proofErr w:type="spellEnd"/>
      <w:r w:rsidRPr="007D05C2">
        <w:rPr>
          <w:rFonts w:ascii="Times New Roman" w:eastAsia="Calibri" w:hAnsi="Times New Roman" w:cs="Times New Roman"/>
          <w:sz w:val="27"/>
          <w:szCs w:val="27"/>
        </w:rPr>
        <w:t xml:space="preserve"> Т.В. – 21, </w:t>
      </w:r>
      <w:proofErr w:type="spellStart"/>
      <w:r w:rsidRPr="007D05C2">
        <w:rPr>
          <w:rFonts w:ascii="Times New Roman" w:eastAsia="Calibri" w:hAnsi="Times New Roman" w:cs="Times New Roman"/>
          <w:sz w:val="27"/>
          <w:szCs w:val="27"/>
        </w:rPr>
        <w:t>Брошевой</w:t>
      </w:r>
      <w:proofErr w:type="spellEnd"/>
      <w:r w:rsidRPr="007D05C2">
        <w:rPr>
          <w:rFonts w:ascii="Times New Roman" w:eastAsia="Calibri" w:hAnsi="Times New Roman" w:cs="Times New Roman"/>
          <w:sz w:val="27"/>
          <w:szCs w:val="27"/>
        </w:rPr>
        <w:t xml:space="preserve"> К.А. – 1; от Политической партии </w:t>
      </w:r>
      <w:r w:rsidR="00C25AA6">
        <w:rPr>
          <w:rFonts w:ascii="Times New Roman" w:eastAsia="Calibri" w:hAnsi="Times New Roman" w:cs="Times New Roman"/>
          <w:sz w:val="27"/>
          <w:szCs w:val="27"/>
        </w:rPr>
        <w:t>«</w:t>
      </w:r>
      <w:r w:rsidRPr="007D05C2">
        <w:rPr>
          <w:rFonts w:ascii="Times New Roman" w:eastAsia="Calibri" w:hAnsi="Times New Roman" w:cs="Times New Roman"/>
          <w:sz w:val="27"/>
          <w:szCs w:val="27"/>
        </w:rPr>
        <w:t>Коммунистическая партия Российской Федерации</w:t>
      </w:r>
      <w:r w:rsidR="00C25AA6">
        <w:rPr>
          <w:rFonts w:ascii="Times New Roman" w:eastAsia="Calibri" w:hAnsi="Times New Roman" w:cs="Times New Roman"/>
          <w:sz w:val="27"/>
          <w:szCs w:val="27"/>
        </w:rPr>
        <w:t>»</w:t>
      </w:r>
      <w:r w:rsidRPr="007D05C2">
        <w:rPr>
          <w:rFonts w:ascii="Times New Roman" w:eastAsia="Calibri" w:hAnsi="Times New Roman" w:cs="Times New Roman"/>
          <w:sz w:val="27"/>
          <w:szCs w:val="27"/>
        </w:rPr>
        <w:t xml:space="preserve"> (Литвиновым Р.Д.) – 19 (из них 1 устное обращение, поступившее в ходе личного приема); </w:t>
      </w:r>
      <w:r w:rsidRPr="007D05C2">
        <w:rPr>
          <w:rFonts w:ascii="Times New Roman" w:eastAsia="Calibri" w:hAnsi="Times New Roman" w:cs="Times New Roman"/>
          <w:i/>
          <w:sz w:val="27"/>
          <w:szCs w:val="27"/>
        </w:rPr>
        <w:t>депутатами по одномандатным избирательным округам № 1 - № 14 – 17</w:t>
      </w:r>
      <w:r w:rsidRPr="007D05C2">
        <w:rPr>
          <w:rFonts w:ascii="Times New Roman" w:eastAsia="Calibri" w:hAnsi="Times New Roman" w:cs="Times New Roman"/>
          <w:sz w:val="27"/>
          <w:szCs w:val="27"/>
        </w:rPr>
        <w:t>: по избирательному округу № 1 (</w:t>
      </w:r>
      <w:proofErr w:type="spellStart"/>
      <w:r w:rsidRPr="007D05C2">
        <w:rPr>
          <w:rFonts w:ascii="Times New Roman" w:eastAsia="Calibri" w:hAnsi="Times New Roman" w:cs="Times New Roman"/>
          <w:sz w:val="27"/>
          <w:szCs w:val="27"/>
        </w:rPr>
        <w:t>Долгунковым</w:t>
      </w:r>
      <w:proofErr w:type="spellEnd"/>
      <w:r w:rsidRPr="007D05C2">
        <w:rPr>
          <w:rFonts w:ascii="Times New Roman" w:eastAsia="Calibri" w:hAnsi="Times New Roman" w:cs="Times New Roman"/>
          <w:sz w:val="27"/>
          <w:szCs w:val="27"/>
        </w:rPr>
        <w:t xml:space="preserve"> А.А.) – 5, по избирательному округу № 3 (Евтушок Е.Н.) – 4, по избирательному округу № 9 (Быковым В.В.) – 5,  по  избирательному  округу № 11 (Ломакиным Ю.В.) – 3; </w:t>
      </w:r>
    </w:p>
    <w:p w:rsidR="002E61DA" w:rsidRPr="007D05C2" w:rsidRDefault="002E61DA" w:rsidP="002E61DA">
      <w:pPr>
        <w:tabs>
          <w:tab w:val="left" w:pos="0"/>
        </w:tabs>
        <w:autoSpaceDE/>
        <w:autoSpaceDN/>
        <w:adjustRightInd/>
        <w:ind w:firstLine="567"/>
        <w:rPr>
          <w:rFonts w:ascii="Times New Roman" w:eastAsia="Calibri" w:hAnsi="Times New Roman" w:cs="Times New Roman"/>
          <w:sz w:val="27"/>
          <w:szCs w:val="27"/>
        </w:rPr>
      </w:pPr>
      <w:r w:rsidRPr="007D05C2">
        <w:rPr>
          <w:rFonts w:ascii="Times New Roman" w:eastAsia="Calibri" w:hAnsi="Times New Roman" w:cs="Times New Roman"/>
          <w:sz w:val="27"/>
          <w:szCs w:val="27"/>
        </w:rPr>
        <w:t>- руководителем аппарата Законодательного Собрания Камчатского края (Мананниковым М.М.) – 1 обращение.</w:t>
      </w:r>
    </w:p>
    <w:p w:rsidR="002E61DA" w:rsidRPr="007D05C2" w:rsidRDefault="002E61DA" w:rsidP="002E61DA">
      <w:pPr>
        <w:tabs>
          <w:tab w:val="left" w:pos="0"/>
        </w:tabs>
        <w:autoSpaceDE/>
        <w:autoSpaceDN/>
        <w:adjustRightInd/>
        <w:ind w:right="141" w:firstLine="567"/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</w:pPr>
      <w:r w:rsidRPr="007D05C2">
        <w:rPr>
          <w:rFonts w:ascii="Times New Roman" w:eastAsia="Calibri" w:hAnsi="Times New Roman" w:cs="Times New Roman"/>
          <w:sz w:val="27"/>
          <w:szCs w:val="27"/>
        </w:rPr>
        <w:t xml:space="preserve">Ежегодно основная доля обращений граждан приходится на депутатов от </w:t>
      </w:r>
      <w:r w:rsidRPr="007D05C2">
        <w:rPr>
          <w:rFonts w:ascii="Times New Roman" w:hAnsi="Times New Roman" w:cs="Times New Roman"/>
          <w:color w:val="000000"/>
          <w:sz w:val="27"/>
          <w:szCs w:val="27"/>
        </w:rPr>
        <w:t xml:space="preserve">Всероссийской политической партии </w:t>
      </w:r>
      <w:r w:rsidR="00C25AA6">
        <w:rPr>
          <w:rFonts w:ascii="Times New Roman" w:eastAsia="Calibri" w:hAnsi="Times New Roman" w:cs="Times New Roman"/>
          <w:sz w:val="27"/>
          <w:szCs w:val="27"/>
        </w:rPr>
        <w:t>«</w:t>
      </w:r>
      <w:r w:rsidRPr="007D05C2">
        <w:rPr>
          <w:rFonts w:ascii="Times New Roman" w:eastAsia="Calibri" w:hAnsi="Times New Roman" w:cs="Times New Roman"/>
          <w:sz w:val="27"/>
          <w:szCs w:val="27"/>
        </w:rPr>
        <w:t>ЕДИНАЯ РОССИЯ</w:t>
      </w:r>
      <w:r w:rsidR="00C25AA6">
        <w:rPr>
          <w:rFonts w:ascii="Times New Roman" w:eastAsia="Calibri" w:hAnsi="Times New Roman" w:cs="Times New Roman"/>
          <w:sz w:val="27"/>
          <w:szCs w:val="27"/>
        </w:rPr>
        <w:t>»</w:t>
      </w:r>
      <w:r w:rsidRPr="007D05C2">
        <w:rPr>
          <w:rFonts w:ascii="Times New Roman" w:eastAsia="Calibri" w:hAnsi="Times New Roman" w:cs="Times New Roman"/>
          <w:sz w:val="27"/>
          <w:szCs w:val="27"/>
        </w:rPr>
        <w:t>, в состав которой входит 75% депутатов Законодательного Собрания</w:t>
      </w:r>
      <w:r w:rsidRPr="007D05C2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.</w:t>
      </w:r>
    </w:p>
    <w:p w:rsidR="002E61DA" w:rsidRPr="007D05C2" w:rsidRDefault="002E61DA" w:rsidP="002E61DA">
      <w:pPr>
        <w:tabs>
          <w:tab w:val="left" w:pos="0"/>
        </w:tabs>
        <w:autoSpaceDE/>
        <w:autoSpaceDN/>
        <w:adjustRightInd/>
        <w:ind w:right="141" w:firstLine="567"/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</w:pPr>
      <w:r w:rsidRPr="007D05C2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Наибольшее количество обращений граждан поступило в адрес депутатов, избранных по четырнадцати одно</w:t>
      </w:r>
      <w:r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мандатным избирательным округам </w:t>
      </w:r>
      <w:r w:rsidRPr="007D05C2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– 243 (57%). Первую тройку </w:t>
      </w:r>
      <w:r w:rsidR="00C25AA6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«</w:t>
      </w:r>
      <w:r w:rsidRPr="007D05C2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лидеров</w:t>
      </w:r>
      <w:r w:rsidR="00C25AA6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»</w:t>
      </w:r>
      <w:r w:rsidRPr="007D05C2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 традиционно занимают депутаты от В</w:t>
      </w:r>
      <w:r w:rsidRPr="007D05C2">
        <w:rPr>
          <w:rFonts w:ascii="Times New Roman" w:hAnsi="Times New Roman" w:cs="Times New Roman"/>
          <w:color w:val="000000"/>
          <w:sz w:val="27"/>
          <w:szCs w:val="27"/>
        </w:rPr>
        <w:t xml:space="preserve">сероссийской политической партии </w:t>
      </w:r>
      <w:r w:rsidR="00C25AA6">
        <w:rPr>
          <w:rFonts w:ascii="Times New Roman" w:eastAsia="Calibri" w:hAnsi="Times New Roman" w:cs="Times New Roman"/>
          <w:sz w:val="27"/>
          <w:szCs w:val="27"/>
        </w:rPr>
        <w:t>«</w:t>
      </w:r>
      <w:r w:rsidRPr="007D05C2">
        <w:rPr>
          <w:rFonts w:ascii="Times New Roman" w:eastAsia="Calibri" w:hAnsi="Times New Roman" w:cs="Times New Roman"/>
          <w:sz w:val="27"/>
          <w:szCs w:val="27"/>
        </w:rPr>
        <w:t>ЕДИНАЯ РОССИЯ</w:t>
      </w:r>
      <w:r w:rsidR="00C25AA6">
        <w:rPr>
          <w:rFonts w:ascii="Times New Roman" w:eastAsia="Calibri" w:hAnsi="Times New Roman" w:cs="Times New Roman"/>
          <w:sz w:val="27"/>
          <w:szCs w:val="27"/>
        </w:rPr>
        <w:t>»</w:t>
      </w:r>
      <w:r w:rsidRPr="007D05C2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: Кирносенко А.В. – 65 обращений (15%), Раенко В.Ф. – 53 обращения (12%), Романова Т.Ф. – 36 обращений (8%).</w:t>
      </w:r>
    </w:p>
    <w:p w:rsidR="002E61DA" w:rsidRPr="007D05C2" w:rsidRDefault="002E61DA" w:rsidP="002E61DA">
      <w:pPr>
        <w:tabs>
          <w:tab w:val="left" w:pos="0"/>
        </w:tabs>
        <w:autoSpaceDE/>
        <w:autoSpaceDN/>
        <w:adjustRightInd/>
        <w:ind w:right="141" w:firstLine="567"/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</w:pPr>
      <w:r w:rsidRPr="007D05C2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В адрес депутатов, избранных по единому краевому избирательному округу, поступило 183 обращения (43%). Лидирующие позиции занимают депутаты от </w:t>
      </w:r>
      <w:r w:rsidRPr="007D05C2">
        <w:rPr>
          <w:rFonts w:ascii="Times New Roman" w:hAnsi="Times New Roman" w:cs="Times New Roman"/>
          <w:color w:val="000000"/>
          <w:sz w:val="27"/>
          <w:szCs w:val="27"/>
        </w:rPr>
        <w:t xml:space="preserve">Всероссийской политической партии </w:t>
      </w:r>
      <w:r w:rsidR="00C25AA6">
        <w:rPr>
          <w:rFonts w:ascii="Times New Roman" w:eastAsia="Calibri" w:hAnsi="Times New Roman" w:cs="Times New Roman"/>
          <w:sz w:val="27"/>
          <w:szCs w:val="27"/>
        </w:rPr>
        <w:t>«</w:t>
      </w:r>
      <w:r w:rsidRPr="007D05C2">
        <w:rPr>
          <w:rFonts w:ascii="Times New Roman" w:eastAsia="Calibri" w:hAnsi="Times New Roman" w:cs="Times New Roman"/>
          <w:sz w:val="27"/>
          <w:szCs w:val="27"/>
        </w:rPr>
        <w:t>ЕДИНАЯ РОССИЯ</w:t>
      </w:r>
      <w:r w:rsidR="00C25AA6">
        <w:rPr>
          <w:rFonts w:ascii="Times New Roman" w:eastAsia="Calibri" w:hAnsi="Times New Roman" w:cs="Times New Roman"/>
          <w:sz w:val="27"/>
          <w:szCs w:val="27"/>
        </w:rPr>
        <w:t>»</w:t>
      </w:r>
      <w:r w:rsidRPr="007D05C2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 Копылов А.А. – 37 обращений (9%) и Ткаченко Т.В. – 27 обращений (6%), а также депутат от Политической партии </w:t>
      </w:r>
      <w:r w:rsidRPr="007D05C2">
        <w:rPr>
          <w:rFonts w:ascii="Times New Roman" w:hAnsi="Times New Roman" w:cs="Times New Roman"/>
          <w:color w:val="000000"/>
          <w:sz w:val="27"/>
          <w:szCs w:val="27"/>
        </w:rPr>
        <w:t>ЛДПР – Либерально-демократическая партия России –</w:t>
      </w:r>
      <w:r w:rsidRPr="007D05C2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 Калашников В.Ю. – 22 обращения (5%).</w:t>
      </w:r>
    </w:p>
    <w:p w:rsidR="002E61DA" w:rsidRPr="007D05C2" w:rsidRDefault="002E61DA" w:rsidP="002E61DA">
      <w:pPr>
        <w:autoSpaceDE/>
        <w:autoSpaceDN/>
        <w:adjustRightInd/>
        <w:ind w:firstLine="567"/>
        <w:rPr>
          <w:rFonts w:ascii="Times New Roman" w:eastAsia="Calibri" w:hAnsi="Times New Roman" w:cs="Times New Roman"/>
          <w:sz w:val="27"/>
          <w:szCs w:val="27"/>
        </w:rPr>
      </w:pPr>
      <w:r w:rsidRPr="007D05C2">
        <w:rPr>
          <w:rFonts w:ascii="Times New Roman" w:eastAsia="Calibri" w:hAnsi="Times New Roman" w:cs="Times New Roman"/>
          <w:sz w:val="27"/>
          <w:szCs w:val="27"/>
        </w:rPr>
        <w:t>Проведенный анализ обращений граждан в тематическом и территориальном аспектах позволяет выявить наиболее значимые и волнующие жителей Камчатского края вопросы.</w:t>
      </w:r>
    </w:p>
    <w:p w:rsidR="002E61DA" w:rsidRPr="007D05C2" w:rsidRDefault="002E61DA" w:rsidP="002E61DA">
      <w:pPr>
        <w:autoSpaceDE/>
        <w:autoSpaceDN/>
        <w:adjustRightInd/>
        <w:ind w:firstLine="567"/>
        <w:rPr>
          <w:rFonts w:ascii="Times New Roman" w:hAnsi="Times New Roman" w:cs="Times New Roman"/>
          <w:sz w:val="27"/>
          <w:szCs w:val="27"/>
        </w:rPr>
      </w:pPr>
      <w:r w:rsidRPr="007D05C2">
        <w:rPr>
          <w:rFonts w:ascii="Times New Roman" w:hAnsi="Times New Roman" w:cs="Times New Roman"/>
          <w:sz w:val="27"/>
          <w:szCs w:val="27"/>
        </w:rPr>
        <w:t xml:space="preserve">В связи с тем, что более 70 % населения полуострова – городское, чаще к депутатам Законодательного Собрания по различным вопросам обращаются горожане, проживающие в черте Петропавловска-Камчатского городского округа (в 2019 году – 267 обращений; в 2018 году – 356; в 2017 году – 362; в </w:t>
      </w:r>
      <w:r w:rsidRPr="007D05C2">
        <w:rPr>
          <w:rFonts w:ascii="Times New Roman" w:hAnsi="Times New Roman" w:cs="Times New Roman"/>
          <w:sz w:val="27"/>
          <w:szCs w:val="27"/>
          <w:lang w:val="en-US"/>
        </w:rPr>
        <w:t>IV</w:t>
      </w:r>
      <w:r w:rsidRPr="007D05C2">
        <w:rPr>
          <w:rFonts w:ascii="Times New Roman" w:hAnsi="Times New Roman" w:cs="Times New Roman"/>
          <w:sz w:val="27"/>
          <w:szCs w:val="27"/>
        </w:rPr>
        <w:t xml:space="preserve"> квартале 2016 года – 81 обращение). Общая доля обращений, поступивших от городского населения в 2019 году, составила 76% (325 обращений). От жителей сельских территорий полуострова поступило – 86 (20%) обращений. Наибольшую активность проявили сельчане, проживающие на восточном побережье полуострова – 45 обращений (52% от общего числа обратившихся жителей сельских территорий). Процент обращений, поступивших от жителей, проживающих в сельских населенных пунктах западного побережья, составил – 31% (27 обращений); центральной части полуострова – 16% (14 обращений).</w:t>
      </w:r>
    </w:p>
    <w:p w:rsidR="002E61DA" w:rsidRPr="001E6095" w:rsidRDefault="002E61DA" w:rsidP="002E61DA">
      <w:pPr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D05C2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От граждан, проживающих в других субъектах Российской Федерации, за отчетный период поступило – 16 обращений (4</w:t>
      </w:r>
      <w:r w:rsidRPr="001E6095">
        <w:rPr>
          <w:rFonts w:ascii="Times New Roman" w:eastAsia="Times New Roman" w:hAnsi="Times New Roman" w:cs="Times New Roman"/>
          <w:sz w:val="27"/>
          <w:szCs w:val="27"/>
          <w:lang w:eastAsia="ru-RU"/>
        </w:rPr>
        <w:t>%): г. Москва – 6, г. Щелково – 1 (Московская область), г. Санкт-Петербург – 2, г. Ростов-на-Дону – 1, г. Калининград – 1, г. Воронеж – 1, г. Брянск – 1, г. Йошкар-Ола</w:t>
      </w:r>
      <w:r w:rsidRPr="001E6095"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  <w:t xml:space="preserve"> (</w:t>
      </w:r>
      <w:proofErr w:type="spellStart"/>
      <w:r w:rsidRPr="001E6095"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  <w:t>Респу́блика</w:t>
      </w:r>
      <w:proofErr w:type="spellEnd"/>
      <w:r w:rsidRPr="001E6095"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  <w:t xml:space="preserve"> </w:t>
      </w:r>
      <w:proofErr w:type="spellStart"/>
      <w:r w:rsidRPr="001E6095"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  <w:t>Мари́й</w:t>
      </w:r>
      <w:proofErr w:type="spellEnd"/>
      <w:r w:rsidRPr="001E6095"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  <w:t xml:space="preserve"> Эл</w:t>
      </w:r>
      <w:r w:rsidRPr="001E6095">
        <w:rPr>
          <w:rFonts w:ascii="Times New Roman" w:eastAsia="Times New Roman" w:hAnsi="Times New Roman" w:cs="Times New Roman"/>
          <w:sz w:val="27"/>
          <w:szCs w:val="27"/>
          <w:lang w:eastAsia="ru-RU"/>
        </w:rPr>
        <w:t>) – 1, г. Тюмень – 1, Амурская область (</w:t>
      </w:r>
      <w:proofErr w:type="spellStart"/>
      <w:r w:rsidRPr="001E6095">
        <w:rPr>
          <w:rFonts w:ascii="Times New Roman" w:eastAsia="Times New Roman" w:hAnsi="Times New Roman" w:cs="Times New Roman"/>
          <w:sz w:val="27"/>
          <w:szCs w:val="27"/>
          <w:lang w:eastAsia="ru-RU"/>
        </w:rPr>
        <w:t>пгт</w:t>
      </w:r>
      <w:proofErr w:type="spellEnd"/>
      <w:r w:rsidRPr="001E60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Прогресс) – 1. </w:t>
      </w:r>
    </w:p>
    <w:p w:rsidR="002E61DA" w:rsidRPr="007D05C2" w:rsidRDefault="002E61DA" w:rsidP="002E61DA">
      <w:pPr>
        <w:tabs>
          <w:tab w:val="left" w:pos="911"/>
        </w:tabs>
        <w:autoSpaceDE/>
        <w:autoSpaceDN/>
        <w:adjustRightInd/>
        <w:ind w:firstLine="709"/>
        <w:rPr>
          <w:rFonts w:ascii="Times New Roman" w:eastAsia="Calibri" w:hAnsi="Times New Roman" w:cs="Times New Roman"/>
          <w:sz w:val="27"/>
          <w:szCs w:val="27"/>
        </w:rPr>
      </w:pPr>
      <w:proofErr w:type="gramStart"/>
      <w:r w:rsidRPr="007D05C2">
        <w:rPr>
          <w:rFonts w:ascii="Times New Roman" w:hAnsi="Times New Roman" w:cs="Times New Roman"/>
          <w:sz w:val="27"/>
          <w:szCs w:val="27"/>
        </w:rPr>
        <w:t>Следует  отметить</w:t>
      </w:r>
      <w:proofErr w:type="gramEnd"/>
      <w:r w:rsidRPr="007D05C2">
        <w:rPr>
          <w:rFonts w:ascii="Times New Roman" w:hAnsi="Times New Roman" w:cs="Times New Roman"/>
          <w:sz w:val="27"/>
          <w:szCs w:val="27"/>
        </w:rPr>
        <w:t xml:space="preserve">  ежегодный  рост обращений от заявителей, проживающих в </w:t>
      </w:r>
      <w:proofErr w:type="spellStart"/>
      <w:r w:rsidRPr="007D05C2">
        <w:rPr>
          <w:rFonts w:ascii="Times New Roman" w:hAnsi="Times New Roman" w:cs="Times New Roman"/>
          <w:sz w:val="27"/>
          <w:szCs w:val="27"/>
        </w:rPr>
        <w:t>Вилючинском</w:t>
      </w:r>
      <w:proofErr w:type="spellEnd"/>
      <w:r w:rsidRPr="007D05C2">
        <w:rPr>
          <w:rFonts w:ascii="Times New Roman" w:hAnsi="Times New Roman" w:cs="Times New Roman"/>
          <w:sz w:val="27"/>
          <w:szCs w:val="27"/>
        </w:rPr>
        <w:t xml:space="preserve"> городском округе (в 2019 году – 37 обращений, в 2018 году – 26, в 2017 году – 23, в </w:t>
      </w:r>
      <w:r w:rsidRPr="007D05C2">
        <w:rPr>
          <w:rFonts w:ascii="Times New Roman" w:hAnsi="Times New Roman" w:cs="Times New Roman"/>
          <w:sz w:val="27"/>
          <w:szCs w:val="27"/>
          <w:lang w:val="en-US"/>
        </w:rPr>
        <w:t>IV</w:t>
      </w:r>
      <w:r w:rsidRPr="007D05C2">
        <w:rPr>
          <w:rFonts w:ascii="Times New Roman" w:hAnsi="Times New Roman" w:cs="Times New Roman"/>
          <w:sz w:val="27"/>
          <w:szCs w:val="27"/>
        </w:rPr>
        <w:t xml:space="preserve"> квартале 2016 года – 0 обращений). Кроме того, в 2019 году увеличилось количество</w:t>
      </w:r>
      <w:r w:rsidRPr="007D05C2">
        <w:rPr>
          <w:rFonts w:ascii="Times New Roman" w:eastAsia="Calibri" w:hAnsi="Times New Roman" w:cs="Times New Roman"/>
          <w:sz w:val="27"/>
          <w:szCs w:val="27"/>
        </w:rPr>
        <w:t xml:space="preserve"> обращений от жителей </w:t>
      </w:r>
      <w:proofErr w:type="spellStart"/>
      <w:r w:rsidRPr="007D05C2">
        <w:rPr>
          <w:rFonts w:ascii="Times New Roman" w:eastAsia="Calibri" w:hAnsi="Times New Roman" w:cs="Times New Roman"/>
          <w:sz w:val="27"/>
          <w:szCs w:val="27"/>
        </w:rPr>
        <w:t>Елизовского</w:t>
      </w:r>
      <w:proofErr w:type="spellEnd"/>
      <w:r w:rsidRPr="007D05C2">
        <w:rPr>
          <w:rFonts w:ascii="Times New Roman" w:eastAsia="Calibri" w:hAnsi="Times New Roman" w:cs="Times New Roman"/>
          <w:sz w:val="27"/>
          <w:szCs w:val="27"/>
        </w:rPr>
        <w:t xml:space="preserve"> городского поселения (&gt; в 1,2 раза по сравнению с прошлым аналогичным периодом), </w:t>
      </w:r>
      <w:proofErr w:type="spellStart"/>
      <w:r w:rsidRPr="007D05C2">
        <w:rPr>
          <w:rFonts w:ascii="Times New Roman" w:eastAsia="Calibri" w:hAnsi="Times New Roman" w:cs="Times New Roman"/>
          <w:sz w:val="27"/>
          <w:szCs w:val="27"/>
        </w:rPr>
        <w:t>Мильковского</w:t>
      </w:r>
      <w:proofErr w:type="spellEnd"/>
      <w:r w:rsidRPr="007D05C2">
        <w:rPr>
          <w:rFonts w:ascii="Times New Roman" w:eastAsia="Calibri" w:hAnsi="Times New Roman" w:cs="Times New Roman"/>
          <w:sz w:val="27"/>
          <w:szCs w:val="27"/>
        </w:rPr>
        <w:t xml:space="preserve"> (&gt; в 1,5 раза) и </w:t>
      </w:r>
      <w:proofErr w:type="spellStart"/>
      <w:r w:rsidRPr="007D05C2">
        <w:rPr>
          <w:rFonts w:ascii="Times New Roman" w:eastAsia="Calibri" w:hAnsi="Times New Roman" w:cs="Times New Roman"/>
          <w:sz w:val="27"/>
          <w:szCs w:val="27"/>
        </w:rPr>
        <w:t>Пенжинского</w:t>
      </w:r>
      <w:proofErr w:type="spellEnd"/>
      <w:r w:rsidRPr="007D05C2">
        <w:rPr>
          <w:rFonts w:ascii="Times New Roman" w:eastAsia="Calibri" w:hAnsi="Times New Roman" w:cs="Times New Roman"/>
          <w:sz w:val="27"/>
          <w:szCs w:val="27"/>
        </w:rPr>
        <w:t xml:space="preserve"> (&gt; в 1,2 раза) муниципальных районов. Количественный ряд обращений граждан, </w:t>
      </w:r>
      <w:r w:rsidRPr="007D05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проживающих в других субъектах Российской Федерации, и </w:t>
      </w:r>
      <w:r w:rsidRPr="007D05C2">
        <w:rPr>
          <w:rFonts w:ascii="Times New Roman" w:eastAsia="Calibri" w:hAnsi="Times New Roman" w:cs="Times New Roman"/>
          <w:sz w:val="27"/>
          <w:szCs w:val="27"/>
        </w:rPr>
        <w:t xml:space="preserve">в </w:t>
      </w:r>
      <w:proofErr w:type="spellStart"/>
      <w:r w:rsidRPr="007D05C2">
        <w:rPr>
          <w:rFonts w:ascii="Times New Roman" w:eastAsia="Calibri" w:hAnsi="Times New Roman" w:cs="Times New Roman"/>
          <w:sz w:val="27"/>
          <w:szCs w:val="27"/>
        </w:rPr>
        <w:t>Быстринском</w:t>
      </w:r>
      <w:proofErr w:type="spellEnd"/>
      <w:r w:rsidRPr="007D05C2">
        <w:rPr>
          <w:rFonts w:ascii="Times New Roman" w:eastAsia="Calibri" w:hAnsi="Times New Roman" w:cs="Times New Roman"/>
          <w:sz w:val="27"/>
          <w:szCs w:val="27"/>
        </w:rPr>
        <w:t xml:space="preserve"> муниципальном районе Камчатского края остался на прежнем уровне. Также в отчетном периоде наблюдался спад обращений от жителей Петропавловска-Камчатского городского округа </w:t>
      </w:r>
      <w:proofErr w:type="gramStart"/>
      <w:r w:rsidRPr="007D05C2">
        <w:rPr>
          <w:rFonts w:ascii="Times New Roman" w:eastAsia="Calibri" w:hAnsi="Times New Roman" w:cs="Times New Roman"/>
          <w:sz w:val="27"/>
          <w:szCs w:val="27"/>
        </w:rPr>
        <w:t>(&lt; на</w:t>
      </w:r>
      <w:proofErr w:type="gramEnd"/>
      <w:r w:rsidRPr="007D05C2">
        <w:rPr>
          <w:rFonts w:ascii="Times New Roman" w:eastAsia="Calibri" w:hAnsi="Times New Roman" w:cs="Times New Roman"/>
          <w:sz w:val="27"/>
          <w:szCs w:val="27"/>
        </w:rPr>
        <w:t xml:space="preserve"> 89), </w:t>
      </w:r>
      <w:proofErr w:type="spellStart"/>
      <w:r w:rsidRPr="007D05C2">
        <w:rPr>
          <w:rFonts w:ascii="Times New Roman" w:eastAsia="Calibri" w:hAnsi="Times New Roman" w:cs="Times New Roman"/>
          <w:sz w:val="27"/>
          <w:szCs w:val="27"/>
        </w:rPr>
        <w:t>Усть</w:t>
      </w:r>
      <w:proofErr w:type="spellEnd"/>
      <w:r w:rsidRPr="007D05C2">
        <w:rPr>
          <w:rFonts w:ascii="Times New Roman" w:eastAsia="Calibri" w:hAnsi="Times New Roman" w:cs="Times New Roman"/>
          <w:sz w:val="27"/>
          <w:szCs w:val="27"/>
        </w:rPr>
        <w:t xml:space="preserve">-Камчатского, </w:t>
      </w:r>
      <w:proofErr w:type="spellStart"/>
      <w:r w:rsidRPr="007D05C2">
        <w:rPr>
          <w:rFonts w:ascii="Times New Roman" w:eastAsia="Calibri" w:hAnsi="Times New Roman" w:cs="Times New Roman"/>
          <w:sz w:val="27"/>
          <w:szCs w:val="27"/>
        </w:rPr>
        <w:t>Усть</w:t>
      </w:r>
      <w:proofErr w:type="spellEnd"/>
      <w:r w:rsidRPr="007D05C2">
        <w:rPr>
          <w:rFonts w:ascii="Times New Roman" w:eastAsia="Calibri" w:hAnsi="Times New Roman" w:cs="Times New Roman"/>
          <w:sz w:val="27"/>
          <w:szCs w:val="27"/>
        </w:rPr>
        <w:t xml:space="preserve">-Большерецкого, </w:t>
      </w:r>
      <w:proofErr w:type="spellStart"/>
      <w:r w:rsidRPr="007D05C2">
        <w:rPr>
          <w:rFonts w:ascii="Times New Roman" w:eastAsia="Calibri" w:hAnsi="Times New Roman" w:cs="Times New Roman"/>
          <w:sz w:val="27"/>
          <w:szCs w:val="27"/>
        </w:rPr>
        <w:t>Олюторского</w:t>
      </w:r>
      <w:proofErr w:type="spellEnd"/>
      <w:r w:rsidRPr="007D05C2">
        <w:rPr>
          <w:rFonts w:ascii="Times New Roman" w:eastAsia="Calibri" w:hAnsi="Times New Roman" w:cs="Times New Roman"/>
          <w:sz w:val="27"/>
          <w:szCs w:val="27"/>
        </w:rPr>
        <w:t xml:space="preserve">, Карагинского, </w:t>
      </w:r>
      <w:proofErr w:type="spellStart"/>
      <w:r w:rsidRPr="007D05C2">
        <w:rPr>
          <w:rFonts w:ascii="Times New Roman" w:eastAsia="Calibri" w:hAnsi="Times New Roman" w:cs="Times New Roman"/>
          <w:sz w:val="27"/>
          <w:szCs w:val="27"/>
        </w:rPr>
        <w:t>Елизовского</w:t>
      </w:r>
      <w:proofErr w:type="spellEnd"/>
      <w:r w:rsidRPr="007D05C2">
        <w:rPr>
          <w:rFonts w:ascii="Times New Roman" w:eastAsia="Calibri" w:hAnsi="Times New Roman" w:cs="Times New Roman"/>
          <w:sz w:val="27"/>
          <w:szCs w:val="27"/>
        </w:rPr>
        <w:t xml:space="preserve"> и </w:t>
      </w:r>
      <w:proofErr w:type="spellStart"/>
      <w:r w:rsidRPr="007D05C2">
        <w:rPr>
          <w:rFonts w:ascii="Times New Roman" w:eastAsia="Calibri" w:hAnsi="Times New Roman" w:cs="Times New Roman"/>
          <w:sz w:val="27"/>
          <w:szCs w:val="27"/>
        </w:rPr>
        <w:t>Тигильского</w:t>
      </w:r>
      <w:proofErr w:type="spellEnd"/>
      <w:r w:rsidRPr="007D05C2">
        <w:rPr>
          <w:rFonts w:ascii="Times New Roman" w:eastAsia="Calibri" w:hAnsi="Times New Roman" w:cs="Times New Roman"/>
          <w:sz w:val="27"/>
          <w:szCs w:val="27"/>
        </w:rPr>
        <w:t xml:space="preserve"> муниципальных районов. </w:t>
      </w:r>
    </w:p>
    <w:p w:rsidR="002E61DA" w:rsidRPr="007D05C2" w:rsidRDefault="002E61DA" w:rsidP="002E61DA">
      <w:pPr>
        <w:autoSpaceDE/>
        <w:autoSpaceDN/>
        <w:adjustRightInd/>
        <w:ind w:firstLine="567"/>
        <w:rPr>
          <w:rFonts w:ascii="Times New Roman" w:eastAsia="Calibri" w:hAnsi="Times New Roman" w:cs="Times New Roman"/>
          <w:sz w:val="27"/>
          <w:szCs w:val="27"/>
        </w:rPr>
      </w:pPr>
      <w:r w:rsidRPr="007D05C2">
        <w:rPr>
          <w:rFonts w:ascii="Times New Roman" w:eastAsia="Calibri" w:hAnsi="Times New Roman" w:cs="Times New Roman"/>
          <w:sz w:val="27"/>
          <w:szCs w:val="27"/>
        </w:rPr>
        <w:t>В целом по территориальной принадлежности проживания заявителей поступившая корреспонденция подразделяется следующим образом (расположение муниципальных районов отображено на карте под соответствующей цифрой,):</w:t>
      </w:r>
    </w:p>
    <w:p w:rsidR="002E61DA" w:rsidRPr="007D05C2" w:rsidRDefault="002E61DA" w:rsidP="002E61DA">
      <w:pPr>
        <w:tabs>
          <w:tab w:val="left" w:pos="911"/>
        </w:tabs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7D05C2">
        <w:rPr>
          <w:rFonts w:asciiTheme="minorHAnsi" w:hAnsiTheme="minorHAnsi" w:cstheme="minorBidi"/>
          <w:noProof/>
          <w:color w:val="FBF622"/>
          <w:sz w:val="22"/>
          <w:szCs w:val="22"/>
          <w:lang w:eastAsia="ru-RU"/>
        </w:rPr>
        <w:drawing>
          <wp:anchor distT="0" distB="0" distL="114300" distR="114300" simplePos="0" relativeHeight="251659264" behindDoc="0" locked="0" layoutInCell="1" allowOverlap="1" wp14:anchorId="290F88C3" wp14:editId="53FE6E2A">
            <wp:simplePos x="0" y="0"/>
            <wp:positionH relativeFrom="margin">
              <wp:posOffset>2005965</wp:posOffset>
            </wp:positionH>
            <wp:positionV relativeFrom="paragraph">
              <wp:posOffset>12700</wp:posOffset>
            </wp:positionV>
            <wp:extent cx="4171950" cy="2676525"/>
            <wp:effectExtent l="0" t="0" r="0" b="0"/>
            <wp:wrapThrough wrapText="bothSides">
              <wp:wrapPolygon edited="0">
                <wp:start x="0" y="307"/>
                <wp:lineTo x="0" y="1999"/>
                <wp:lineTo x="395" y="5535"/>
                <wp:lineTo x="493" y="21062"/>
                <wp:lineTo x="9370" y="21369"/>
                <wp:lineTo x="11047" y="21369"/>
                <wp:lineTo x="11244" y="20293"/>
                <wp:lineTo x="11934" y="20293"/>
                <wp:lineTo x="17458" y="18141"/>
                <wp:lineTo x="17556" y="17833"/>
                <wp:lineTo x="19726" y="15374"/>
                <wp:lineTo x="21304" y="13068"/>
                <wp:lineTo x="21304" y="12914"/>
                <wp:lineTo x="20811" y="10454"/>
                <wp:lineTo x="21304" y="10300"/>
                <wp:lineTo x="21304" y="9532"/>
                <wp:lineTo x="20712" y="7994"/>
                <wp:lineTo x="21205" y="7841"/>
                <wp:lineTo x="21008" y="7379"/>
                <wp:lineTo x="19923" y="5535"/>
                <wp:lineTo x="19332" y="3075"/>
                <wp:lineTo x="19430" y="2152"/>
                <wp:lineTo x="12625" y="769"/>
                <wp:lineTo x="7397" y="307"/>
                <wp:lineTo x="0" y="307"/>
              </wp:wrapPolygon>
            </wp:wrapThrough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05C2">
        <w:rPr>
          <w:rFonts w:asciiTheme="minorHAnsi" w:hAnsiTheme="minorHAnsi" w:cstheme="minorBidi"/>
          <w:noProof/>
          <w:sz w:val="22"/>
          <w:szCs w:val="22"/>
          <w:lang w:eastAsia="ru-RU"/>
        </w:rPr>
        <w:drawing>
          <wp:anchor distT="0" distB="0" distL="114300" distR="114300" simplePos="0" relativeHeight="251660288" behindDoc="1" locked="0" layoutInCell="1" allowOverlap="1" wp14:anchorId="62D52C7A" wp14:editId="271841C1">
            <wp:simplePos x="0" y="0"/>
            <wp:positionH relativeFrom="column">
              <wp:posOffset>-241935</wp:posOffset>
            </wp:positionH>
            <wp:positionV relativeFrom="paragraph">
              <wp:posOffset>146050</wp:posOffset>
            </wp:positionV>
            <wp:extent cx="2286000" cy="2390775"/>
            <wp:effectExtent l="57150" t="57150" r="57150" b="47625"/>
            <wp:wrapThrough wrapText="bothSides">
              <wp:wrapPolygon edited="0">
                <wp:start x="8460" y="-516"/>
                <wp:lineTo x="3060" y="-172"/>
                <wp:lineTo x="3060" y="2582"/>
                <wp:lineTo x="720" y="2582"/>
                <wp:lineTo x="720" y="5335"/>
                <wp:lineTo x="-360" y="5335"/>
                <wp:lineTo x="-540" y="10843"/>
                <wp:lineTo x="-180" y="14285"/>
                <wp:lineTo x="900" y="16351"/>
                <wp:lineTo x="3240" y="19276"/>
                <wp:lineTo x="8280" y="21514"/>
                <wp:lineTo x="8640" y="21858"/>
                <wp:lineTo x="12780" y="21858"/>
                <wp:lineTo x="12960" y="21514"/>
                <wp:lineTo x="18000" y="19104"/>
                <wp:lineTo x="18180" y="19104"/>
                <wp:lineTo x="20520" y="16351"/>
                <wp:lineTo x="21600" y="13597"/>
                <wp:lineTo x="21960" y="10843"/>
                <wp:lineTo x="21780" y="8089"/>
                <wp:lineTo x="20700" y="5335"/>
                <wp:lineTo x="18540" y="2582"/>
                <wp:lineTo x="18540" y="1893"/>
                <wp:lineTo x="14220" y="-172"/>
                <wp:lineTo x="12780" y="-516"/>
                <wp:lineTo x="8460" y="-516"/>
              </wp:wrapPolygon>
            </wp:wrapThrough>
            <wp:docPr id="23" name="Рисунок 23" descr="Описание: https://upload.wikimedia.org/wikipedia/commons/5/57/Kamchatka_krayAre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ttps://upload.wikimedia.org/wikipedia/commons/5/57/Kamchatka_krayArea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6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brightnessContrast bright="6000" contrast="-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390775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12700">
                      <a:bevelT w="127000" h="50800"/>
                      <a:contourClr>
                        <a:srgbClr val="EDFFE7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61DA" w:rsidRPr="007D05C2" w:rsidRDefault="002E61DA" w:rsidP="002E61DA">
      <w:pPr>
        <w:tabs>
          <w:tab w:val="left" w:pos="911"/>
        </w:tabs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2E61DA" w:rsidRPr="007D05C2" w:rsidRDefault="002E61DA" w:rsidP="002E61DA">
      <w:pPr>
        <w:tabs>
          <w:tab w:val="left" w:pos="911"/>
        </w:tabs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2E61DA" w:rsidRDefault="002E61DA" w:rsidP="002E61DA">
      <w:pPr>
        <w:autoSpaceDE/>
        <w:autoSpaceDN/>
        <w:adjustRightInd/>
        <w:ind w:firstLine="567"/>
        <w:rPr>
          <w:rFonts w:ascii="Times New Roman" w:eastAsia="Calibri" w:hAnsi="Times New Roman" w:cs="Times New Roman"/>
          <w:sz w:val="27"/>
          <w:szCs w:val="27"/>
        </w:rPr>
      </w:pPr>
    </w:p>
    <w:p w:rsidR="002E61DA" w:rsidRPr="007D05C2" w:rsidRDefault="002E61DA" w:rsidP="002E61DA">
      <w:pPr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D05C2">
        <w:rPr>
          <w:rFonts w:ascii="Times New Roman" w:eastAsia="Calibri" w:hAnsi="Times New Roman" w:cs="Times New Roman"/>
          <w:sz w:val="27"/>
          <w:szCs w:val="27"/>
        </w:rPr>
        <w:t xml:space="preserve">Большинство вопросов, поднимаемых в обращениях городского населения, касаются </w:t>
      </w:r>
      <w:r w:rsidRPr="007D05C2">
        <w:rPr>
          <w:rFonts w:ascii="Times New Roman" w:hAnsi="Times New Roman" w:cs="Times New Roman"/>
          <w:sz w:val="27"/>
          <w:szCs w:val="27"/>
        </w:rPr>
        <w:t xml:space="preserve">благоустройства территорий, коммунально-бытовых нужд, жилья, здравоохранения и экологии. Сельское население беспокоят вопросы жилищно-коммунального хозяйства, строительства, а также сфер связи, социальной защиты и транспорта. </w:t>
      </w:r>
      <w:r w:rsidRPr="007D05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Наибольшую активность проявили жители </w:t>
      </w:r>
      <w:proofErr w:type="spellStart"/>
      <w:r w:rsidRPr="007D05C2">
        <w:rPr>
          <w:rFonts w:ascii="Times New Roman" w:eastAsia="Times New Roman" w:hAnsi="Times New Roman" w:cs="Times New Roman"/>
          <w:sz w:val="27"/>
          <w:szCs w:val="27"/>
          <w:lang w:eastAsia="ru-RU"/>
        </w:rPr>
        <w:t>Елизовского</w:t>
      </w:r>
      <w:proofErr w:type="spellEnd"/>
      <w:r w:rsidRPr="007D05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района, а также сельских населенных пунктов </w:t>
      </w:r>
      <w:proofErr w:type="spellStart"/>
      <w:r w:rsidRPr="007D05C2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Усть</w:t>
      </w:r>
      <w:proofErr w:type="spellEnd"/>
      <w:r w:rsidRPr="007D05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-Камчатского и </w:t>
      </w:r>
      <w:proofErr w:type="spellStart"/>
      <w:r w:rsidRPr="007D05C2">
        <w:rPr>
          <w:rFonts w:ascii="Times New Roman" w:eastAsia="Times New Roman" w:hAnsi="Times New Roman" w:cs="Times New Roman"/>
          <w:sz w:val="27"/>
          <w:szCs w:val="27"/>
          <w:lang w:eastAsia="ru-RU"/>
        </w:rPr>
        <w:t>Пенжинского</w:t>
      </w:r>
      <w:proofErr w:type="spellEnd"/>
      <w:r w:rsidRPr="007D05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муниципальных районов. </w:t>
      </w:r>
      <w:r w:rsidRPr="007D05C2">
        <w:rPr>
          <w:rFonts w:ascii="Times New Roman" w:hAnsi="Times New Roman" w:cs="Times New Roman"/>
          <w:sz w:val="27"/>
          <w:szCs w:val="27"/>
        </w:rPr>
        <w:t>Граждане, проживающие в других регионах страны</w:t>
      </w:r>
      <w:r w:rsidRPr="007D05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 основном, направляют предложения по изменению действующего законодательства. </w:t>
      </w:r>
    </w:p>
    <w:p w:rsidR="002E61DA" w:rsidRPr="007D05C2" w:rsidRDefault="002E61DA" w:rsidP="002E61DA">
      <w:pPr>
        <w:autoSpaceDE/>
        <w:autoSpaceDN/>
        <w:adjustRightInd/>
        <w:ind w:firstLine="567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7D05C2">
        <w:rPr>
          <w:rFonts w:ascii="Times New Roman" w:eastAsia="Calibri" w:hAnsi="Times New Roman" w:cs="Times New Roman"/>
          <w:sz w:val="27"/>
          <w:szCs w:val="27"/>
        </w:rPr>
        <w:lastRenderedPageBreak/>
        <w:t xml:space="preserve">В целом тематическая направленность поступивших обращений затрагивает следующие вопросы (в сравнении с показателями прошлого </w:t>
      </w:r>
      <w:proofErr w:type="gramStart"/>
      <w:r w:rsidRPr="007D05C2">
        <w:rPr>
          <w:rFonts w:ascii="Times New Roman" w:eastAsia="Calibri" w:hAnsi="Times New Roman" w:cs="Times New Roman"/>
          <w:sz w:val="27"/>
          <w:szCs w:val="27"/>
        </w:rPr>
        <w:t xml:space="preserve">года: </w:t>
      </w:r>
      <w:r w:rsidRPr="007D05C2">
        <w:rPr>
          <w:rFonts w:ascii="Times New Roman" w:eastAsia="Calibri" w:hAnsi="Times New Roman" w:cs="Times New Roman"/>
          <w:b/>
          <w:bCs/>
          <w:sz w:val="27"/>
          <w:szCs w:val="27"/>
        </w:rPr>
        <w:sym w:font="Wingdings 3" w:char="F035"/>
      </w:r>
      <w:r w:rsidRPr="007D05C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7D05C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–</w:t>
      </w:r>
      <w:proofErr w:type="gramEnd"/>
      <w:r w:rsidRPr="007D05C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7D05C2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рост обращений,</w:t>
      </w:r>
      <w:r w:rsidRPr="007D05C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7D05C2">
        <w:rPr>
          <w:rFonts w:ascii="Times New Roman" w:eastAsia="Calibri" w:hAnsi="Times New Roman" w:cs="Times New Roman"/>
          <w:sz w:val="27"/>
          <w:szCs w:val="27"/>
        </w:rPr>
        <w:sym w:font="Wingdings 3" w:char="F036"/>
      </w:r>
      <w:r w:rsidRPr="007D05C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– снижение):</w:t>
      </w:r>
    </w:p>
    <w:p w:rsidR="002E61DA" w:rsidRPr="007D05C2" w:rsidRDefault="002E61DA" w:rsidP="002E61DA">
      <w:pPr>
        <w:autoSpaceDE/>
        <w:autoSpaceDN/>
        <w:adjustRightInd/>
        <w:spacing w:before="240"/>
        <w:ind w:firstLine="0"/>
        <w:rPr>
          <w:rFonts w:ascii="Times New Roman" w:eastAsia="Arial Unicode MS" w:hAnsi="Times New Roman" w:cs="Times New Roman"/>
          <w:sz w:val="29"/>
          <w:szCs w:val="29"/>
          <w:lang w:eastAsia="ru-RU"/>
        </w:rPr>
      </w:pPr>
      <w:r w:rsidRPr="007D05C2">
        <w:rPr>
          <w:rFonts w:asciiTheme="minorHAnsi" w:hAnsiTheme="minorHAnsi" w:cstheme="minorBidi"/>
          <w:noProof/>
          <w:color w:val="660033"/>
          <w:sz w:val="22"/>
          <w:szCs w:val="22"/>
          <w:lang w:eastAsia="ru-RU"/>
        </w:rPr>
        <w:drawing>
          <wp:inline distT="0" distB="0" distL="0" distR="0" wp14:anchorId="689F3F22" wp14:editId="4045FA21">
            <wp:extent cx="6048375" cy="2750185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E61DA" w:rsidRDefault="002E61DA" w:rsidP="002E61DA">
      <w:pPr>
        <w:autoSpaceDE/>
        <w:autoSpaceDN/>
        <w:adjustRightInd/>
        <w:ind w:firstLine="567"/>
        <w:rPr>
          <w:rFonts w:ascii="Times New Roman" w:hAnsi="Times New Roman" w:cs="Times New Roman"/>
          <w:sz w:val="27"/>
          <w:szCs w:val="27"/>
        </w:rPr>
      </w:pPr>
    </w:p>
    <w:p w:rsidR="002E61DA" w:rsidRPr="007D05C2" w:rsidRDefault="002E61DA" w:rsidP="002E61DA">
      <w:pPr>
        <w:autoSpaceDE/>
        <w:autoSpaceDN/>
        <w:adjustRightInd/>
        <w:ind w:firstLine="709"/>
        <w:rPr>
          <w:color w:val="303030"/>
          <w:sz w:val="27"/>
          <w:szCs w:val="27"/>
          <w:shd w:val="clear" w:color="auto" w:fill="FFFFFF"/>
        </w:rPr>
      </w:pPr>
      <w:r w:rsidRPr="007D05C2">
        <w:rPr>
          <w:rFonts w:ascii="Times New Roman" w:hAnsi="Times New Roman" w:cs="Times New Roman"/>
          <w:sz w:val="27"/>
          <w:szCs w:val="27"/>
        </w:rPr>
        <w:t>Тематический анализ поступивших обращений показывает, что по-прежнему наибольшая активность граждан отмечена по вопросам</w:t>
      </w:r>
      <w:r w:rsidRPr="007D05C2">
        <w:rPr>
          <w:rFonts w:ascii="Times New Roman" w:eastAsia="Arial Unicode MS" w:hAnsi="Times New Roman" w:cs="Times New Roman"/>
          <w:sz w:val="27"/>
          <w:szCs w:val="27"/>
        </w:rPr>
        <w:t xml:space="preserve"> в сфере жилищного и коммунального хозяйства, взаимодействия населения с управляющими компаниями (25%).</w:t>
      </w:r>
      <w:r w:rsidRPr="007D05C2">
        <w:rPr>
          <w:rFonts w:ascii="Times New Roman" w:hAnsi="Times New Roman" w:cs="Times New Roman"/>
          <w:sz w:val="27"/>
          <w:szCs w:val="27"/>
        </w:rPr>
        <w:t xml:space="preserve"> Основными причинами, вызывающими обращения граждан по вопросам коммунально-бытового обслуживания, являются: </w:t>
      </w:r>
      <w:r w:rsidRPr="007D05C2">
        <w:rPr>
          <w:rFonts w:ascii="Times New Roman" w:eastAsia="Arial Unicode MS" w:hAnsi="Times New Roman" w:cs="Times New Roman"/>
          <w:sz w:val="27"/>
          <w:szCs w:val="27"/>
        </w:rPr>
        <w:t>предоставление коммунальных услуг ненадлежащего качества</w:t>
      </w:r>
      <w:r w:rsidRPr="007D05C2">
        <w:rPr>
          <w:rFonts w:ascii="Times New Roman" w:hAnsi="Times New Roman" w:cs="Times New Roman"/>
          <w:sz w:val="27"/>
          <w:szCs w:val="27"/>
        </w:rPr>
        <w:t xml:space="preserve">; </w:t>
      </w:r>
      <w:r w:rsidRPr="007D05C2">
        <w:rPr>
          <w:rFonts w:ascii="Times New Roman" w:eastAsia="Arial Unicode MS" w:hAnsi="Times New Roman" w:cs="Times New Roman"/>
          <w:sz w:val="27"/>
          <w:szCs w:val="27"/>
        </w:rPr>
        <w:t>неудовлетворительное содержание дворовых территорий</w:t>
      </w:r>
      <w:r w:rsidRPr="007D05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несвоевременная их уборка от снежных масс в зимний период;</w:t>
      </w:r>
      <w:r w:rsidRPr="007D05C2">
        <w:rPr>
          <w:rFonts w:ascii="Times New Roman" w:hAnsi="Times New Roman" w:cs="Times New Roman"/>
          <w:sz w:val="27"/>
          <w:szCs w:val="27"/>
        </w:rPr>
        <w:t xml:space="preserve"> увеличение износа жилищного фонда и коммунальных сетей; необходимость капитального ремонта многоквартирных домов и ливневых канализаций; несвоевременный вывоз мусора из садовых некоммерческих товариществ и т.д.</w:t>
      </w:r>
    </w:p>
    <w:p w:rsidR="002E61DA" w:rsidRPr="007D05C2" w:rsidRDefault="002E61DA" w:rsidP="002E61DA">
      <w:pPr>
        <w:autoSpaceDE/>
        <w:autoSpaceDN/>
        <w:adjustRightInd/>
        <w:ind w:firstLine="709"/>
        <w:rPr>
          <w:rFonts w:ascii="Times New Roman" w:hAnsi="Times New Roman" w:cs="Times New Roman"/>
          <w:sz w:val="27"/>
          <w:szCs w:val="27"/>
        </w:rPr>
      </w:pPr>
      <w:r w:rsidRPr="007D05C2">
        <w:rPr>
          <w:rFonts w:ascii="Times New Roman" w:eastAsia="Arial Unicode MS" w:hAnsi="Times New Roman" w:cs="Times New Roman"/>
          <w:sz w:val="27"/>
          <w:szCs w:val="27"/>
        </w:rPr>
        <w:t>35% (37 из 105) данного тематического блока составляют обращения об оказании помощи в решении жилищных вопросов, в частности: о предоставлении социального жилья, о восстановлении в очереди по программе переселения, об обеспечении пригодным для проживания жильем</w:t>
      </w:r>
      <w:r w:rsidRPr="007D05C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 о переселении из ветхого и аварийного жилья</w:t>
      </w:r>
      <w:r w:rsidRPr="007D05C2">
        <w:rPr>
          <w:rFonts w:ascii="Times New Roman" w:eastAsia="Arial Unicode MS" w:hAnsi="Times New Roman" w:cs="Times New Roman"/>
          <w:sz w:val="27"/>
          <w:szCs w:val="27"/>
        </w:rPr>
        <w:t>.</w:t>
      </w:r>
      <w:r w:rsidRPr="007D05C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E61DA" w:rsidRDefault="002E61DA" w:rsidP="002E61DA">
      <w:pPr>
        <w:autoSpaceDE/>
        <w:autoSpaceDN/>
        <w:adjustRightInd/>
        <w:ind w:firstLine="709"/>
        <w:rPr>
          <w:rFonts w:ascii="Times New Roman" w:eastAsia="Arial Unicode MS" w:hAnsi="Times New Roman" w:cs="Times New Roman"/>
          <w:sz w:val="27"/>
          <w:szCs w:val="27"/>
        </w:rPr>
      </w:pPr>
      <w:r w:rsidRPr="007D05C2">
        <w:rPr>
          <w:rFonts w:ascii="Times New Roman" w:eastAsia="Arial Unicode MS" w:hAnsi="Times New Roman" w:cs="Times New Roman"/>
          <w:sz w:val="27"/>
          <w:szCs w:val="27"/>
        </w:rPr>
        <w:t xml:space="preserve">Вторыми по актуальности в обращениях граждан остаются социальные вопросы (20%), в числе основных: о предоставлении льгот и мер социальной поддержки различным категориям граждан, об </w:t>
      </w:r>
      <w:r w:rsidRPr="007D05C2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условиях присвоения звания </w:t>
      </w:r>
      <w:r w:rsidR="00C25AA6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«</w:t>
      </w:r>
      <w:r w:rsidRPr="007D05C2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Ветеран труда</w:t>
      </w:r>
      <w:r w:rsidR="00C25AA6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»</w:t>
      </w:r>
      <w:r w:rsidRPr="007D05C2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 в Камчатском крае</w:t>
      </w:r>
      <w:r w:rsidRPr="007D05C2">
        <w:rPr>
          <w:rFonts w:ascii="Times New Roman" w:eastAsia="Arial Unicode MS" w:hAnsi="Times New Roman" w:cs="Times New Roman"/>
          <w:sz w:val="27"/>
          <w:szCs w:val="27"/>
        </w:rPr>
        <w:t xml:space="preserve">, о компенсации расходов за проезд к месту отдыха и обратно, об устройстве в </w:t>
      </w:r>
      <w:r w:rsidRPr="007D05C2">
        <w:rPr>
          <w:rFonts w:ascii="Times New Roman" w:hAnsi="Times New Roman" w:cs="Times New Roman"/>
          <w:bCs/>
          <w:iCs/>
          <w:sz w:val="27"/>
          <w:szCs w:val="27"/>
        </w:rPr>
        <w:t>Дом-интернат для престарелых и инвалидов,</w:t>
      </w:r>
      <w:r w:rsidRPr="007D05C2">
        <w:rPr>
          <w:rFonts w:ascii="Times New Roman" w:hAnsi="Times New Roman" w:cs="Times New Roman"/>
          <w:b/>
          <w:bCs/>
          <w:iCs/>
          <w:sz w:val="27"/>
          <w:szCs w:val="27"/>
        </w:rPr>
        <w:t xml:space="preserve"> </w:t>
      </w:r>
      <w:r w:rsidRPr="007D05C2">
        <w:rPr>
          <w:rFonts w:ascii="Times New Roman" w:hAnsi="Times New Roman" w:cs="Times New Roman"/>
          <w:bCs/>
          <w:iCs/>
          <w:sz w:val="27"/>
          <w:szCs w:val="27"/>
        </w:rPr>
        <w:t>о</w:t>
      </w:r>
      <w:r w:rsidRPr="007D05C2">
        <w:rPr>
          <w:rFonts w:ascii="Times New Roman" w:hAnsi="Times New Roman" w:cs="Times New Roman"/>
          <w:b/>
          <w:bCs/>
          <w:iCs/>
          <w:sz w:val="27"/>
          <w:szCs w:val="27"/>
        </w:rPr>
        <w:t xml:space="preserve"> </w:t>
      </w:r>
      <w:r w:rsidRPr="007D05C2">
        <w:rPr>
          <w:rFonts w:ascii="Times New Roman" w:eastAsia="Arial Unicode MS" w:hAnsi="Times New Roman" w:cs="Times New Roman"/>
          <w:sz w:val="27"/>
          <w:szCs w:val="27"/>
        </w:rPr>
        <w:t>награждении Почетной грам</w:t>
      </w:r>
      <w:r>
        <w:rPr>
          <w:rFonts w:ascii="Times New Roman" w:eastAsia="Arial Unicode MS" w:hAnsi="Times New Roman" w:cs="Times New Roman"/>
          <w:sz w:val="27"/>
          <w:szCs w:val="27"/>
        </w:rPr>
        <w:t>отой Законодательного Собрания.</w:t>
      </w:r>
    </w:p>
    <w:p w:rsidR="002E61DA" w:rsidRPr="007D05C2" w:rsidRDefault="002E61DA" w:rsidP="002E61DA">
      <w:pPr>
        <w:autoSpaceDE/>
        <w:autoSpaceDN/>
        <w:adjustRightInd/>
        <w:ind w:firstLine="709"/>
        <w:rPr>
          <w:rFonts w:ascii="Times New Roman" w:eastAsia="Arial Unicode MS" w:hAnsi="Times New Roman" w:cs="Times New Roman"/>
          <w:sz w:val="27"/>
          <w:szCs w:val="27"/>
        </w:rPr>
      </w:pPr>
      <w:r w:rsidRPr="007D05C2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Третье место по тематическому содержанию (12%) занимают </w:t>
      </w:r>
      <w:r w:rsidRPr="007D05C2">
        <w:rPr>
          <w:rFonts w:ascii="Times New Roman" w:eastAsia="Times New Roman" w:hAnsi="Times New Roman" w:cs="Times New Roman"/>
          <w:sz w:val="27"/>
          <w:szCs w:val="27"/>
          <w:lang w:eastAsia="ru-RU"/>
        </w:rPr>
        <w:t>рекомендации населения по совершенствованию действующего законодательства</w:t>
      </w:r>
      <w:r w:rsidRPr="007D05C2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. В отчетный период от жителей региона поступали предложения по изменению законодательства в части: оплаты проезда к месту отдыха и обратно пенсионерам, получающим страховую пенсию по старости и доплату к пенсии в связи с потерей супруга (супруги); досрочного пенсионного </w:t>
      </w:r>
      <w:r w:rsidRPr="007D05C2">
        <w:rPr>
          <w:rFonts w:ascii="Times New Roman" w:eastAsia="Arial Unicode MS" w:hAnsi="Times New Roman" w:cs="Times New Roman"/>
          <w:sz w:val="27"/>
          <w:szCs w:val="27"/>
          <w:lang w:eastAsia="ru-RU"/>
        </w:rPr>
        <w:lastRenderedPageBreak/>
        <w:t xml:space="preserve">обеспечения работников дошкольных образовательных организаций, работающих в должности </w:t>
      </w:r>
      <w:r w:rsidR="00C25AA6">
        <w:rPr>
          <w:rFonts w:ascii="Times New Roman" w:eastAsia="Arial Unicode MS" w:hAnsi="Times New Roman" w:cs="Times New Roman"/>
          <w:sz w:val="27"/>
          <w:szCs w:val="27"/>
          <w:lang w:eastAsia="ru-RU"/>
        </w:rPr>
        <w:t>«</w:t>
      </w:r>
      <w:r w:rsidRPr="007D05C2">
        <w:rPr>
          <w:rFonts w:ascii="Times New Roman" w:eastAsia="Arial Unicode MS" w:hAnsi="Times New Roman" w:cs="Times New Roman"/>
          <w:sz w:val="27"/>
          <w:szCs w:val="27"/>
          <w:lang w:eastAsia="ru-RU"/>
        </w:rPr>
        <w:t>инструктор по физической культуре</w:t>
      </w:r>
      <w:r w:rsidR="00C25AA6">
        <w:rPr>
          <w:rFonts w:ascii="Times New Roman" w:eastAsia="Arial Unicode MS" w:hAnsi="Times New Roman" w:cs="Times New Roman"/>
          <w:sz w:val="27"/>
          <w:szCs w:val="27"/>
          <w:lang w:eastAsia="ru-RU"/>
        </w:rPr>
        <w:t>»</w:t>
      </w:r>
      <w:r w:rsidRPr="007D05C2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; </w:t>
      </w:r>
      <w:r w:rsidRPr="007D05C2">
        <w:rPr>
          <w:rFonts w:ascii="Times New Roman" w:eastAsia="Times New Roman" w:hAnsi="Times New Roman" w:cs="Times New Roman"/>
          <w:iCs/>
          <w:sz w:val="27"/>
          <w:szCs w:val="27"/>
          <w:shd w:val="clear" w:color="auto" w:fill="FFFFFF" w:themeFill="background1"/>
          <w:lang w:eastAsia="ru-RU"/>
        </w:rPr>
        <w:t xml:space="preserve">компенсации расходов на оплату коммунальных платежей </w:t>
      </w:r>
      <w:r w:rsidRPr="007D05C2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специалистам ветеринарной службы с учетом членов семьи; развития сельского хозяйства и предпринимательской деятельности; защиты животных от жестокого обращения; предоставления налоговых льгот иностранным резидентам территорий опережающего социально-экономического развития; </w:t>
      </w:r>
      <w:proofErr w:type="spellStart"/>
      <w:r w:rsidRPr="007D05C2">
        <w:rPr>
          <w:rFonts w:ascii="Times New Roman" w:eastAsia="Arial Unicode MS" w:hAnsi="Times New Roman" w:cs="Times New Roman"/>
          <w:sz w:val="27"/>
          <w:szCs w:val="27"/>
          <w:lang w:eastAsia="ru-RU"/>
        </w:rPr>
        <w:t>цифровизации</w:t>
      </w:r>
      <w:proofErr w:type="spellEnd"/>
      <w:r w:rsidRPr="007D05C2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персональных данных; обеспечения тишины и покоя. </w:t>
      </w:r>
    </w:p>
    <w:p w:rsidR="002E61DA" w:rsidRPr="007D05C2" w:rsidRDefault="002E61DA" w:rsidP="002E61DA">
      <w:pPr>
        <w:autoSpaceDE/>
        <w:autoSpaceDN/>
        <w:adjustRightInd/>
        <w:ind w:firstLine="709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7D05C2">
        <w:rPr>
          <w:rFonts w:ascii="Times New Roman" w:eastAsia="Arial Unicode MS" w:hAnsi="Times New Roman" w:cs="Times New Roman"/>
          <w:sz w:val="27"/>
          <w:szCs w:val="27"/>
          <w:lang w:eastAsia="ru-RU"/>
        </w:rPr>
        <w:t>Граждане, проживающие в иных субъектах, излагали свои предложения по реформированию пенсионной системы в целом, по</w:t>
      </w:r>
      <w:r w:rsidRPr="007D05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изменению положений действующего законодательства в части</w:t>
      </w:r>
      <w:r w:rsidRPr="007D05C2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доплаты к пенсии за выслугу лет на детей, находящихся на иждивении в возрасте до 18 лет, обучающихся в средних специальных и высших учебных заведениях и до их окончания, а также в части возврата летнего времени. </w:t>
      </w:r>
    </w:p>
    <w:p w:rsidR="002E61DA" w:rsidRPr="007D05C2" w:rsidRDefault="002E61DA" w:rsidP="002E61DA">
      <w:pPr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5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сфере транспорта и связи жители северных территорий обращались с просьбами решить накопившиеся проблемы, связанные с пассажирскими авиаперевозками и доставкой почты в сельские населенные пункты. Камчатские многодетные семьи неоднократно обращались с наболевшим вопросом об отсутствии подъездных путей к предоставленным земельным участкам. </w:t>
      </w:r>
      <w:r w:rsidRPr="007D05C2">
        <w:rPr>
          <w:rFonts w:ascii="Times New Roman" w:hAnsi="Times New Roman" w:cs="Times New Roman"/>
          <w:sz w:val="27"/>
          <w:szCs w:val="27"/>
          <w:shd w:val="clear" w:color="auto" w:fill="FFFFFF"/>
        </w:rPr>
        <w:t>Ж</w:t>
      </w:r>
      <w:r w:rsidRPr="007D05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ители Петропавловск-Камчатского городского округа с просьбами об увеличении количества дорожных знаков </w:t>
      </w:r>
      <w:r w:rsidR="00C25A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 w:rsidRPr="007D05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Ограничение максимальной скорости</w:t>
      </w:r>
      <w:r w:rsidR="00C25A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искусственных неровностей</w:t>
      </w:r>
      <w:r w:rsidRPr="007D05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а также с вопросом о хаотичной парковке личного автотранспорта жильцами многоквартирных домов, препятствующей в зимнее время работе по расчистке подъездных путей от снежных масс. </w:t>
      </w:r>
    </w:p>
    <w:p w:rsidR="002E61DA" w:rsidRPr="007D05C2" w:rsidRDefault="002E61DA" w:rsidP="002E61DA">
      <w:pPr>
        <w:autoSpaceDE/>
        <w:autoSpaceDN/>
        <w:adjustRightInd/>
        <w:ind w:firstLine="709"/>
        <w:rPr>
          <w:rFonts w:ascii="Times New Roman" w:eastAsia="Arial Unicode MS" w:hAnsi="Times New Roman" w:cs="Times New Roman"/>
          <w:sz w:val="27"/>
          <w:szCs w:val="27"/>
        </w:rPr>
      </w:pPr>
      <w:r w:rsidRPr="007D05C2">
        <w:rPr>
          <w:rFonts w:ascii="Times New Roman" w:eastAsia="Arial Unicode MS" w:hAnsi="Times New Roman" w:cs="Times New Roman"/>
          <w:sz w:val="27"/>
          <w:szCs w:val="27"/>
        </w:rPr>
        <w:t xml:space="preserve">В сфере дорожного хозяйства горожанами поднимались вопросы о </w:t>
      </w:r>
      <w:r w:rsidRPr="007D05C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ямочном ремонте дорожного полотна, </w:t>
      </w:r>
      <w:r w:rsidRPr="007D05C2">
        <w:rPr>
          <w:rFonts w:ascii="Times New Roman" w:eastAsia="Arial Unicode MS" w:hAnsi="Times New Roman" w:cs="Times New Roman"/>
          <w:sz w:val="27"/>
          <w:szCs w:val="27"/>
        </w:rPr>
        <w:t xml:space="preserve">возможности </w:t>
      </w:r>
      <w:r w:rsidRPr="007D05C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включения </w:t>
      </w:r>
      <w:r w:rsidRPr="007D05C2">
        <w:rPr>
          <w:rFonts w:ascii="Times New Roman" w:eastAsia="Arial Unicode MS" w:hAnsi="Times New Roman" w:cs="Times New Roman"/>
          <w:sz w:val="27"/>
          <w:szCs w:val="27"/>
        </w:rPr>
        <w:t xml:space="preserve">отдельных </w:t>
      </w:r>
      <w:r w:rsidRPr="007D05C2">
        <w:rPr>
          <w:rFonts w:ascii="Times New Roman" w:hAnsi="Times New Roman" w:cs="Times New Roman"/>
          <w:sz w:val="27"/>
          <w:szCs w:val="27"/>
          <w:shd w:val="clear" w:color="auto" w:fill="FFFFFF"/>
        </w:rPr>
        <w:t>участков</w:t>
      </w:r>
      <w:r w:rsidRPr="007D05C2">
        <w:rPr>
          <w:rFonts w:ascii="Times New Roman" w:eastAsia="Arial Unicode MS" w:hAnsi="Times New Roman" w:cs="Times New Roman"/>
          <w:sz w:val="27"/>
          <w:szCs w:val="27"/>
        </w:rPr>
        <w:t xml:space="preserve"> придомовых и межквартальных проездов</w:t>
      </w:r>
      <w:r w:rsidRPr="007D05C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в план ремонта дорожной сети и перечень работ по благоустройству,</w:t>
      </w:r>
      <w:r w:rsidRPr="007D05C2">
        <w:rPr>
          <w:rFonts w:ascii="Times New Roman" w:eastAsia="Arial Unicode MS" w:hAnsi="Times New Roman" w:cs="Times New Roman"/>
          <w:sz w:val="27"/>
          <w:szCs w:val="27"/>
        </w:rPr>
        <w:t xml:space="preserve"> нехватки автобусных остановок</w:t>
      </w:r>
      <w:r w:rsidRPr="007D05C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. </w:t>
      </w:r>
    </w:p>
    <w:p w:rsidR="002E61DA" w:rsidRPr="007D05C2" w:rsidRDefault="002E61DA" w:rsidP="002E61DA">
      <w:pPr>
        <w:autoSpaceDE/>
        <w:autoSpaceDN/>
        <w:adjustRightInd/>
        <w:ind w:firstLine="709"/>
        <w:rPr>
          <w:rFonts w:ascii="Times New Roman" w:eastAsia="Arial Unicode MS" w:hAnsi="Times New Roman" w:cs="Times New Roman"/>
          <w:sz w:val="27"/>
          <w:szCs w:val="27"/>
        </w:rPr>
      </w:pPr>
      <w:r w:rsidRPr="007D05C2">
        <w:rPr>
          <w:rFonts w:ascii="Times New Roman" w:eastAsia="Arial Unicode MS" w:hAnsi="Times New Roman" w:cs="Times New Roman"/>
          <w:sz w:val="27"/>
          <w:szCs w:val="27"/>
        </w:rPr>
        <w:t>Характер вопросов в сфере здравоохранения к депутатам различен. Заявители обращаются с просьбами об оказании содействия в получении медицинской помощи не только на территории Камчатского края, но и за его пределами, в решении кадрового вопроса, в организации экстренной медицинской помощи</w:t>
      </w:r>
      <w:r w:rsidRPr="007D05C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7D05C2">
        <w:rPr>
          <w:rFonts w:ascii="Times New Roman" w:eastAsia="Arial Unicode MS" w:hAnsi="Times New Roman" w:cs="Times New Roman"/>
          <w:sz w:val="27"/>
          <w:szCs w:val="27"/>
        </w:rPr>
        <w:t xml:space="preserve">в отдаленных поселках, в обеспечении больных дорогостоящими и редкими медицинскими препаратами, в направлении на санаторно-курортное лечение. </w:t>
      </w:r>
    </w:p>
    <w:p w:rsidR="002E61DA" w:rsidRDefault="002E61DA" w:rsidP="002E61DA">
      <w:pPr>
        <w:autoSpaceDE/>
        <w:autoSpaceDN/>
        <w:adjustRightInd/>
        <w:ind w:firstLine="709"/>
        <w:rPr>
          <w:rFonts w:ascii="Times New Roman" w:eastAsia="Arial Unicode MS" w:hAnsi="Times New Roman" w:cs="Times New Roman"/>
          <w:sz w:val="27"/>
          <w:szCs w:val="27"/>
        </w:rPr>
      </w:pPr>
      <w:r w:rsidRPr="007D05C2">
        <w:rPr>
          <w:rFonts w:ascii="Times New Roman" w:eastAsia="Arial Unicode MS" w:hAnsi="Times New Roman" w:cs="Times New Roman"/>
          <w:sz w:val="27"/>
          <w:szCs w:val="27"/>
        </w:rPr>
        <w:t>В обращениях по вопросам экологии граждане выражали беспокойство по поводу деятельности предприятий, занимающихся изготовлением тука (рыбной муки) отрытым способом,</w:t>
      </w:r>
      <w:r w:rsidRPr="007D05C2">
        <w:rPr>
          <w:color w:val="222222"/>
          <w:sz w:val="27"/>
          <w:szCs w:val="27"/>
          <w:shd w:val="clear" w:color="auto" w:fill="FFFFFF"/>
        </w:rPr>
        <w:t xml:space="preserve"> </w:t>
      </w:r>
      <w:r w:rsidRPr="007D05C2"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  <w:t xml:space="preserve">который сопровождается выбросом в атмосферу зловонных паров и сливанием в среду отравляющих бульонов; поднимали вопросы о контроле за объемом вырубленных зеленых насаждений при строительстве различных объектов и мерах по борьбе с борщевиком Сосновского; </w:t>
      </w:r>
      <w:r w:rsidRPr="007D05C2">
        <w:rPr>
          <w:rFonts w:ascii="Times New Roman" w:eastAsia="Arial Unicode MS" w:hAnsi="Times New Roman" w:cs="Times New Roman"/>
          <w:sz w:val="27"/>
          <w:szCs w:val="27"/>
        </w:rPr>
        <w:t>затрагивали проблематику соблюдения правил содержания домашних животных (собак).</w:t>
      </w:r>
      <w:r w:rsidRPr="007D05C2"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  <w:t xml:space="preserve"> </w:t>
      </w:r>
      <w:r>
        <w:rPr>
          <w:rFonts w:ascii="Times New Roman" w:eastAsia="Arial Unicode MS" w:hAnsi="Times New Roman" w:cs="Times New Roman"/>
          <w:sz w:val="27"/>
          <w:szCs w:val="27"/>
        </w:rPr>
        <w:t xml:space="preserve"> </w:t>
      </w:r>
    </w:p>
    <w:p w:rsidR="002E61DA" w:rsidRDefault="002E61DA" w:rsidP="002E61DA">
      <w:pPr>
        <w:autoSpaceDE/>
        <w:autoSpaceDN/>
        <w:adjustRightInd/>
        <w:ind w:firstLine="709"/>
        <w:rPr>
          <w:rFonts w:ascii="Times New Roman" w:eastAsia="Arial Unicode MS" w:hAnsi="Times New Roman" w:cs="Times New Roman"/>
          <w:sz w:val="27"/>
          <w:szCs w:val="27"/>
        </w:rPr>
      </w:pPr>
      <w:r w:rsidRPr="007D05C2">
        <w:rPr>
          <w:rFonts w:ascii="Times New Roman" w:hAnsi="Times New Roman" w:cs="Times New Roman"/>
          <w:color w:val="222222"/>
          <w:sz w:val="27"/>
          <w:szCs w:val="27"/>
          <w:shd w:val="clear" w:color="auto" w:fill="FDFDFD"/>
        </w:rPr>
        <w:t xml:space="preserve">В сфере спорта </w:t>
      </w:r>
      <w:r w:rsidRPr="007D05C2">
        <w:rPr>
          <w:rFonts w:ascii="Times New Roman" w:eastAsia="Arial Unicode MS" w:hAnsi="Times New Roman" w:cs="Times New Roman"/>
          <w:sz w:val="27"/>
          <w:szCs w:val="27"/>
        </w:rPr>
        <w:t xml:space="preserve">жители отдаленных поселков чаще обращаются по вопросам </w:t>
      </w:r>
      <w:r w:rsidRPr="007D05C2">
        <w:rPr>
          <w:rFonts w:ascii="Times New Roman" w:hAnsi="Times New Roman" w:cs="Times New Roman"/>
          <w:color w:val="222222"/>
          <w:sz w:val="27"/>
          <w:szCs w:val="27"/>
          <w:shd w:val="clear" w:color="auto" w:fill="FDFDFD"/>
        </w:rPr>
        <w:t>строительства и</w:t>
      </w:r>
      <w:r w:rsidRPr="007D05C2">
        <w:rPr>
          <w:rFonts w:ascii="Times New Roman" w:eastAsia="Arial Unicode MS" w:hAnsi="Times New Roman" w:cs="Times New Roman"/>
          <w:sz w:val="27"/>
          <w:szCs w:val="27"/>
        </w:rPr>
        <w:t xml:space="preserve"> восстановления спортивных объектов, а также реализации мероприятий по созданию в общеобразовательных организациях </w:t>
      </w:r>
      <w:r w:rsidRPr="007D05C2">
        <w:rPr>
          <w:rFonts w:ascii="Times New Roman" w:eastAsia="Arial Unicode MS" w:hAnsi="Times New Roman" w:cs="Times New Roman"/>
          <w:sz w:val="27"/>
          <w:szCs w:val="27"/>
        </w:rPr>
        <w:lastRenderedPageBreak/>
        <w:t>условий для занятий физической культурой и спортом</w:t>
      </w:r>
      <w:r w:rsidRPr="007D05C2">
        <w:rPr>
          <w:rFonts w:ascii="Times New Roman" w:hAnsi="Times New Roman" w:cs="Times New Roman"/>
          <w:color w:val="222222"/>
          <w:sz w:val="27"/>
          <w:szCs w:val="27"/>
          <w:shd w:val="clear" w:color="auto" w:fill="FDFDFD"/>
        </w:rPr>
        <w:t xml:space="preserve"> </w:t>
      </w:r>
      <w:r w:rsidRPr="007D05C2">
        <w:rPr>
          <w:rFonts w:ascii="Times New Roman" w:eastAsia="Arial Unicode MS" w:hAnsi="Times New Roman" w:cs="Times New Roman"/>
          <w:sz w:val="27"/>
          <w:szCs w:val="27"/>
        </w:rPr>
        <w:t xml:space="preserve">(с. Шаромы </w:t>
      </w:r>
      <w:proofErr w:type="spellStart"/>
      <w:r w:rsidRPr="007D05C2">
        <w:rPr>
          <w:rFonts w:ascii="Times New Roman" w:eastAsia="Arial Unicode MS" w:hAnsi="Times New Roman" w:cs="Times New Roman"/>
          <w:sz w:val="27"/>
          <w:szCs w:val="27"/>
        </w:rPr>
        <w:t>Мильковского</w:t>
      </w:r>
      <w:proofErr w:type="spellEnd"/>
      <w:r w:rsidRPr="007D05C2">
        <w:rPr>
          <w:rFonts w:ascii="Times New Roman" w:eastAsia="Arial Unicode MS" w:hAnsi="Times New Roman" w:cs="Times New Roman"/>
          <w:sz w:val="27"/>
          <w:szCs w:val="27"/>
        </w:rPr>
        <w:t xml:space="preserve"> муниципального района, с. Манилы </w:t>
      </w:r>
      <w:proofErr w:type="spellStart"/>
      <w:r w:rsidRPr="007D05C2">
        <w:rPr>
          <w:rFonts w:ascii="Times New Roman" w:eastAsia="Arial Unicode MS" w:hAnsi="Times New Roman" w:cs="Times New Roman"/>
          <w:sz w:val="27"/>
          <w:szCs w:val="27"/>
        </w:rPr>
        <w:t>Пенжинского</w:t>
      </w:r>
      <w:proofErr w:type="spellEnd"/>
      <w:r w:rsidRPr="007D05C2">
        <w:rPr>
          <w:rFonts w:ascii="Times New Roman" w:eastAsia="Arial Unicode MS" w:hAnsi="Times New Roman" w:cs="Times New Roman"/>
          <w:sz w:val="27"/>
          <w:szCs w:val="27"/>
        </w:rPr>
        <w:t xml:space="preserve"> муниципального района), городское население заинтересовано в сохранении действующих спортивных детских секций.</w:t>
      </w:r>
    </w:p>
    <w:p w:rsidR="002E61DA" w:rsidRPr="00980554" w:rsidRDefault="002E61DA" w:rsidP="002E61DA">
      <w:pPr>
        <w:autoSpaceDE/>
        <w:autoSpaceDN/>
        <w:adjustRightInd/>
        <w:ind w:firstLine="709"/>
        <w:rPr>
          <w:rFonts w:ascii="Times New Roman" w:eastAsia="Arial Unicode MS" w:hAnsi="Times New Roman" w:cs="Times New Roman"/>
          <w:sz w:val="27"/>
          <w:szCs w:val="27"/>
        </w:rPr>
      </w:pPr>
      <w:r w:rsidRPr="007D05C2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В блок </w:t>
      </w:r>
      <w:r w:rsidR="00C25AA6">
        <w:rPr>
          <w:rFonts w:ascii="Times New Roman" w:eastAsia="Arial Unicode MS" w:hAnsi="Times New Roman" w:cs="Times New Roman"/>
          <w:sz w:val="27"/>
          <w:szCs w:val="27"/>
          <w:lang w:eastAsia="ru-RU"/>
        </w:rPr>
        <w:t>«</w:t>
      </w:r>
      <w:r w:rsidRPr="007D05C2">
        <w:rPr>
          <w:rFonts w:ascii="Times New Roman" w:eastAsia="Arial Unicode MS" w:hAnsi="Times New Roman" w:cs="Times New Roman"/>
          <w:sz w:val="27"/>
          <w:szCs w:val="27"/>
          <w:lang w:eastAsia="ru-RU"/>
        </w:rPr>
        <w:t>Разное</w:t>
      </w:r>
      <w:r w:rsidR="00C25AA6">
        <w:rPr>
          <w:rFonts w:ascii="Times New Roman" w:eastAsia="Arial Unicode MS" w:hAnsi="Times New Roman" w:cs="Times New Roman"/>
          <w:sz w:val="27"/>
          <w:szCs w:val="27"/>
          <w:lang w:eastAsia="ru-RU"/>
        </w:rPr>
        <w:t>»</w:t>
      </w:r>
      <w:r w:rsidRPr="007D05C2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вошли письма, в которых граждане благодарят парламентариев за постоянный диалог с избирателями, внимательное отношение к проблемам людей и помощь в их</w:t>
      </w:r>
      <w:r w:rsidRPr="007D05C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860583">
        <w:rPr>
          <w:rFonts w:ascii="Times New Roman" w:eastAsia="Arial Unicode MS" w:hAnsi="Times New Roman" w:cs="Times New Roman"/>
          <w:sz w:val="27"/>
          <w:szCs w:val="27"/>
          <w:lang w:eastAsia="ru-RU"/>
        </w:rPr>
        <w:t>решении.</w:t>
      </w:r>
      <w:r w:rsidRPr="007D05C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</w:p>
    <w:p w:rsidR="002E61DA" w:rsidRPr="007D05C2" w:rsidRDefault="002E61DA" w:rsidP="002E61DA">
      <w:pPr>
        <w:autoSpaceDE/>
        <w:autoSpaceDN/>
        <w:adjustRightInd/>
        <w:ind w:firstLine="709"/>
        <w:rPr>
          <w:rFonts w:ascii="Times New Roman" w:hAnsi="Times New Roman" w:cs="Times New Roman"/>
          <w:sz w:val="27"/>
          <w:szCs w:val="27"/>
        </w:rPr>
      </w:pPr>
      <w:r w:rsidRPr="007D05C2">
        <w:rPr>
          <w:rFonts w:ascii="Times New Roman" w:eastAsia="Calibri" w:hAnsi="Times New Roman" w:cs="Times New Roman"/>
          <w:sz w:val="27"/>
          <w:szCs w:val="27"/>
        </w:rPr>
        <w:t xml:space="preserve">Основными корреспондентами, как и в предыдущие периоды, являются </w:t>
      </w:r>
      <w:r w:rsidRPr="007D05C2">
        <w:rPr>
          <w:rFonts w:ascii="Times New Roman" w:hAnsi="Times New Roman" w:cs="Times New Roman"/>
          <w:sz w:val="27"/>
          <w:szCs w:val="27"/>
        </w:rPr>
        <w:t xml:space="preserve">люди старшего поколения, малоимущие и социально незащищённые граждане (инвалиды, дети-сироты, многодетные семьи и другие). </w:t>
      </w:r>
    </w:p>
    <w:p w:rsidR="002E61DA" w:rsidRPr="007D05C2" w:rsidRDefault="002E61DA" w:rsidP="002E61DA">
      <w:pPr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5C2">
        <w:rPr>
          <w:rFonts w:ascii="Times New Roman" w:eastAsia="Arial Unicode MS" w:hAnsi="Times New Roman" w:cs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61312" behindDoc="1" locked="0" layoutInCell="1" allowOverlap="1" wp14:anchorId="5799AAB7" wp14:editId="3D370972">
            <wp:simplePos x="0" y="0"/>
            <wp:positionH relativeFrom="margin">
              <wp:align>right</wp:align>
            </wp:positionH>
            <wp:positionV relativeFrom="paragraph">
              <wp:posOffset>36830</wp:posOffset>
            </wp:positionV>
            <wp:extent cx="2694305" cy="1428750"/>
            <wp:effectExtent l="0" t="0" r="0" b="0"/>
            <wp:wrapSquare wrapText="bothSides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05C2">
        <w:rPr>
          <w:rFonts w:ascii="Times New Roman" w:eastAsia="Arial Unicode MS" w:hAnsi="Times New Roman" w:cs="Times New Roman"/>
          <w:sz w:val="27"/>
          <w:szCs w:val="27"/>
        </w:rPr>
        <w:t xml:space="preserve">Из общего массива поступивших обращений 10% занимают – коллективные, количество подписей в которых составило более 1561. </w:t>
      </w:r>
      <w:r w:rsidRPr="007D05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Инициативные группы затрагивали различные проблемы. Максимальное количество </w:t>
      </w:r>
      <w:r w:rsidRPr="007D05C2">
        <w:rPr>
          <w:rFonts w:ascii="Times New Roman" w:eastAsia="Arial Unicode MS" w:hAnsi="Times New Roman" w:cs="Times New Roman"/>
          <w:sz w:val="27"/>
          <w:szCs w:val="27"/>
        </w:rPr>
        <w:t>подписей (215 или 14%) по вопросу о строительстве нового здания школы.</w:t>
      </w:r>
      <w:r w:rsidRPr="007D05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2E61DA" w:rsidRPr="007D05C2" w:rsidRDefault="002E61DA" w:rsidP="002E61DA">
      <w:pPr>
        <w:autoSpaceDE/>
        <w:autoSpaceDN/>
        <w:adjustRightInd/>
        <w:ind w:firstLine="709"/>
        <w:rPr>
          <w:rFonts w:ascii="Times New Roman" w:eastAsia="Calibri" w:hAnsi="Times New Roman" w:cs="Times New Roman"/>
          <w:sz w:val="27"/>
          <w:szCs w:val="27"/>
        </w:rPr>
      </w:pPr>
      <w:r w:rsidRPr="007D05C2">
        <w:rPr>
          <w:rFonts w:ascii="Times New Roman" w:hAnsi="Times New Roman" w:cs="Times New Roman"/>
          <w:sz w:val="27"/>
          <w:szCs w:val="27"/>
        </w:rPr>
        <w:t>Обращения граждан, поступившие в Законодательное Собрание, зарегистрированы в установленном порядке и рассматривались в соответствии со сроками, определенными федеральным законодательством.</w:t>
      </w:r>
      <w:r w:rsidRPr="007D05C2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2E61DA" w:rsidRPr="007D05C2" w:rsidRDefault="002E61DA" w:rsidP="002E61DA">
      <w:pPr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5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Предметом детального рассмотрения стали неоднократные обращения жителей отдаленных населенных пунктов </w:t>
      </w:r>
      <w:proofErr w:type="spellStart"/>
      <w:r w:rsidRPr="007D05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Пенжинского</w:t>
      </w:r>
      <w:proofErr w:type="spellEnd"/>
      <w:r w:rsidRPr="007D05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proofErr w:type="spellStart"/>
      <w:r w:rsidRPr="007D05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Олюторского</w:t>
      </w:r>
      <w:proofErr w:type="spellEnd"/>
      <w:r w:rsidRPr="007D05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муниципальных районов по проблемным вопросам в сфере авиационного транспорта. Депутатами Чуевым Б.Н. и Романовой Т.Ф. проведена работа с Федеральным казенным предприятием </w:t>
      </w:r>
      <w:r w:rsidR="00C25A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 w:rsidRPr="007D05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Аэропорты Камчатки</w:t>
      </w:r>
      <w:r w:rsidR="00C25A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Pr="007D05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Акционерным обществом </w:t>
      </w:r>
      <w:r w:rsidR="00C25A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 w:rsidRPr="007D05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Камчатское авиационное предприятие</w:t>
      </w:r>
      <w:r w:rsidR="00C25A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Pr="007D05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части обеспечения максимально гибких условий применения тарифов, выделения дополнительных мест и авиарейсов по маршрутам Петропавловск-Камчатский – </w:t>
      </w:r>
      <w:proofErr w:type="spellStart"/>
      <w:r w:rsidRPr="007D05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Тиличики</w:t>
      </w:r>
      <w:proofErr w:type="spellEnd"/>
      <w:r w:rsidRPr="007D05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Каменское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</w:t>
      </w:r>
      <w:proofErr w:type="spellStart"/>
      <w:r w:rsidRPr="007D05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Слаутное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</w:t>
      </w:r>
      <w:proofErr w:type="spellStart"/>
      <w:r w:rsidRPr="007D05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Аянка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</w:t>
      </w:r>
      <w:proofErr w:type="spellStart"/>
      <w:r w:rsidRPr="007D05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Тиличики</w:t>
      </w:r>
      <w:proofErr w:type="spellEnd"/>
      <w:r w:rsidRPr="007D05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</w:p>
    <w:p w:rsidR="002E61DA" w:rsidRPr="007D05C2" w:rsidRDefault="002E61DA" w:rsidP="002E61DA">
      <w:pPr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5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Депутат Романова Т.Ф. в связи с обращениями жителей с. Манилы урегулировала вопросы с УФПС Камчатского края – филиал ФГУП </w:t>
      </w:r>
      <w:r w:rsidR="00C25A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 w:rsidRPr="007D05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Почта России</w:t>
      </w:r>
      <w:r w:rsidR="00C25A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Pr="007D05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своевременной доставке почты в населенные пункты </w:t>
      </w:r>
      <w:proofErr w:type="spellStart"/>
      <w:r w:rsidRPr="007D05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Пенжинского</w:t>
      </w:r>
      <w:proofErr w:type="spellEnd"/>
      <w:r w:rsidRPr="007D05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муниципального района.</w:t>
      </w:r>
    </w:p>
    <w:p w:rsidR="002E61DA" w:rsidRPr="007D05C2" w:rsidRDefault="002E61DA" w:rsidP="002E61DA">
      <w:pPr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5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отчетном году в зоне особого внимания у депутатов постоянного комитета по социальной политике находились обращения молодых, малообеспеченных и многодетных семей, которые затрагивали различный спектр вопросов.</w:t>
      </w:r>
    </w:p>
    <w:p w:rsidR="002E61DA" w:rsidRPr="007D05C2" w:rsidRDefault="002E61DA" w:rsidP="002E61DA">
      <w:pPr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5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особом контроле – обращения многодетных семей по вопросам: о развитии дорожной инфраструктуры в п. Светлый Пионерского сельского поселения к земельным участкам, предоставленным им в собственность для индивидуального жилищного строительства; о выделении земельных участков в собственность под строительство в черте Петропавловска-Камчатского городского округа и </w:t>
      </w:r>
      <w:proofErr w:type="spellStart"/>
      <w:r w:rsidRPr="007D05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Елизовского</w:t>
      </w:r>
      <w:proofErr w:type="spellEnd"/>
      <w:r w:rsidRPr="007D05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муниципального района. В целях решения обозначенных вопросов создана рабочая группа, осуществляется мониторинг </w:t>
      </w:r>
      <w:r w:rsidRPr="007D05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востребованности расширения земельных участков, проводятся встречи с многодетными семьями по вопросам порядка оформления земельного участка, инфраструктуры, увеличения границ, получения дополнительного участка или его замены, информирования о положенных льготах. </w:t>
      </w:r>
    </w:p>
    <w:p w:rsidR="002E61DA" w:rsidRPr="007D05C2" w:rsidRDefault="002E61DA" w:rsidP="002E61DA">
      <w:pPr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5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отдельных случаях обращения граждан являлись основанием для работы по совершенствованию регионального законодательства в социальной сфере. Депутатами постоянного комитета по социальной политике разрабатываются поправки в Закон Камчатского края от 16.12.2009 № 352 </w:t>
      </w:r>
      <w:r w:rsidR="00C25A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 w:rsidRPr="007D05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мерах социальной поддержки многодетных семей в Камчатском крае</w:t>
      </w:r>
      <w:r w:rsidR="00C25A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Pr="007D05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части уточнения понятия многодетная семья, имеющая детей-студентов до 21 года, обучающихся не только в Камчатском крае, но и за его пределами. </w:t>
      </w:r>
    </w:p>
    <w:p w:rsidR="002E61DA" w:rsidRPr="007D05C2" w:rsidRDefault="002E61DA" w:rsidP="002E61DA">
      <w:pPr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5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связи с обращениями инвалидов и семей, имеющих в своем составе инвалидов, получивших отказ в предоставлении земельных участков, депутатом Галянт С.А. прорабатывается вопрос по внесению изменений в Закон Камчатского края от 30.05.2014 № 437 </w:t>
      </w:r>
      <w:r w:rsidR="00C25A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 w:rsidRPr="007D05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социальной защите инвалидов в Камчатском крае</w:t>
      </w:r>
      <w:r w:rsidR="00C25A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Pr="007D05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части предоставления права на первоочередное получение в собственность земельных участков на безвозмездной основе без проведения торгов для ведения подсобного хозяйства и садоводства.</w:t>
      </w:r>
    </w:p>
    <w:p w:rsidR="002E61DA" w:rsidRPr="007D05C2" w:rsidRDefault="002E61DA" w:rsidP="002E61DA">
      <w:pPr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5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 обращениям граждан по вопросу оказания медицинской помощи детям с онкологическими заболеваниями Законодательным Собранием взяты на особый контроль процессы по маршрутизации онкологических больных детей в ведущие Федеральные центры для незамедлительного оказания квалифицированной помощи. Заместителем Председателя Государственной Думы Федерального Собрания Российской Федерации Яровой И.А. проведены рабочие встречи, селекторные совещания, в которых принимали участие депутаты Ткаченко Т.В. и Галант С.А., принято решение о проведении аудита системы здравоохранения Камчатского края. В ходе публичных слушаний по рассмотрению проекта закона о краевом бюджете на 2020 год выработаны рекомендации о включении бюджетных ассигнований на приобретение медицинского оборудования ГБУЗ </w:t>
      </w:r>
      <w:r w:rsidR="00C25A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 w:rsidRPr="007D05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Камчатская краевая детская больница</w:t>
      </w:r>
      <w:r w:rsidR="00C25A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Pr="007D05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</w:p>
    <w:p w:rsidR="002E61DA" w:rsidRPr="007D05C2" w:rsidRDefault="002E61DA" w:rsidP="002E61DA">
      <w:pPr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5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связи с частыми обращениями в Законодательное Собрание собственников </w:t>
      </w:r>
      <w:r w:rsidRPr="007D05C2">
        <w:rPr>
          <w:rFonts w:ascii="Times New Roman" w:hAnsi="Times New Roman" w:cs="Times New Roman"/>
          <w:sz w:val="26"/>
          <w:szCs w:val="26"/>
        </w:rPr>
        <w:t xml:space="preserve">садоводческих и огороднических некоммерческих товариществ </w:t>
      </w:r>
      <w:r w:rsidRPr="007D05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постоянным комитетом по природопользованию, аграрной политике и экологической безопасности проведено селекторное совещание с участием всех заинтересованных лиц, профильных министерств и ведомств, глав муниципальных образований по вопросу: </w:t>
      </w:r>
      <w:r w:rsidR="00C25A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 w:rsidRPr="007D05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 проблемах реализации в Камчатском крае Федерального закона от 29.07.2017 № 217-ФЗ </w:t>
      </w:r>
      <w:r w:rsidR="00C25A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 w:rsidRPr="007D05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C25A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Pr="007D05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По итогам обсуждения направлено обращение Губернатору Камчатского края о необходимости определения уполномоченного органа государственной власти для координации работы по реализации данного федерального закона. Организован круглый стол и сформирована рабочая группа для решения существующих проблем и разработки региональной программы поддержки садоводов и огородников, и их объединений.</w:t>
      </w:r>
    </w:p>
    <w:p w:rsidR="002E61DA" w:rsidRPr="007D05C2" w:rsidRDefault="002E61DA" w:rsidP="002E61DA">
      <w:pPr>
        <w:autoSpaceDE/>
        <w:autoSpaceDN/>
        <w:adjustRightInd/>
        <w:ind w:firstLine="709"/>
        <w:rPr>
          <w:rFonts w:ascii="Times New Roman" w:eastAsia="Arial Unicode MS" w:hAnsi="Times New Roman" w:cs="Times New Roman"/>
          <w:sz w:val="27"/>
          <w:szCs w:val="27"/>
        </w:rPr>
      </w:pPr>
      <w:r w:rsidRPr="007D05C2">
        <w:rPr>
          <w:rFonts w:ascii="Times New Roman" w:eastAsia="Arial Unicode MS" w:hAnsi="Times New Roman" w:cs="Times New Roman"/>
          <w:sz w:val="27"/>
          <w:szCs w:val="27"/>
        </w:rPr>
        <w:lastRenderedPageBreak/>
        <w:t xml:space="preserve">С учетом обращений граждан по вопросу о социальной защите приёмных родителей, не осуществляющих трудовую деятельность, Законодательным Собранием поддержан проект федерального закона </w:t>
      </w:r>
      <w:r w:rsidR="00C25AA6">
        <w:rPr>
          <w:rFonts w:ascii="Times New Roman" w:eastAsia="Arial Unicode MS" w:hAnsi="Times New Roman" w:cs="Times New Roman"/>
          <w:sz w:val="27"/>
          <w:szCs w:val="27"/>
        </w:rPr>
        <w:t>«</w:t>
      </w:r>
      <w:r w:rsidRPr="007D05C2">
        <w:rPr>
          <w:rFonts w:ascii="Times New Roman" w:eastAsia="Arial Unicode MS" w:hAnsi="Times New Roman" w:cs="Times New Roman"/>
          <w:sz w:val="27"/>
          <w:szCs w:val="27"/>
        </w:rPr>
        <w:t xml:space="preserve">О внесении изменения в статью 34 Закона Российской Федерации </w:t>
      </w:r>
      <w:r w:rsidR="00C25AA6">
        <w:rPr>
          <w:rFonts w:ascii="Times New Roman" w:eastAsia="Arial Unicode MS" w:hAnsi="Times New Roman" w:cs="Times New Roman"/>
          <w:sz w:val="27"/>
          <w:szCs w:val="27"/>
        </w:rPr>
        <w:t>«</w:t>
      </w:r>
      <w:r w:rsidRPr="007D05C2">
        <w:rPr>
          <w:rFonts w:ascii="Times New Roman" w:eastAsia="Arial Unicode MS" w:hAnsi="Times New Roman" w:cs="Times New Roman"/>
          <w:sz w:val="27"/>
          <w:szCs w:val="27"/>
        </w:rPr>
        <w:t>О государственных гарантиях и компенсациях лиц, работающих и проживающих в районах Крайнего Севера и приравненных к ним местностях</w:t>
      </w:r>
      <w:r w:rsidR="00C25AA6">
        <w:rPr>
          <w:rFonts w:ascii="Times New Roman" w:eastAsia="Arial Unicode MS" w:hAnsi="Times New Roman" w:cs="Times New Roman"/>
          <w:sz w:val="27"/>
          <w:szCs w:val="27"/>
        </w:rPr>
        <w:t>»</w:t>
      </w:r>
      <w:r w:rsidRPr="007D05C2">
        <w:rPr>
          <w:rFonts w:ascii="Times New Roman" w:eastAsia="Arial Unicode MS" w:hAnsi="Times New Roman" w:cs="Times New Roman"/>
          <w:sz w:val="27"/>
          <w:szCs w:val="27"/>
        </w:rPr>
        <w:t>, который предусматривает возможность получения компенсации расходов на оплату стоимости проезда к месту отдыха и обратно для пенсионеров, осуществляющих опеку или попечительство над ребенком (детьми) по договору о приемной семье.</w:t>
      </w:r>
    </w:p>
    <w:p w:rsidR="002E61DA" w:rsidRDefault="002E61DA" w:rsidP="002E61DA">
      <w:pPr>
        <w:autoSpaceDE/>
        <w:autoSpaceDN/>
        <w:adjustRightInd/>
        <w:ind w:firstLine="709"/>
        <w:rPr>
          <w:rFonts w:ascii="Times New Roman" w:eastAsia="Arial Unicode MS" w:hAnsi="Times New Roman" w:cs="Times New Roman"/>
          <w:sz w:val="27"/>
          <w:szCs w:val="27"/>
        </w:rPr>
      </w:pPr>
      <w:r w:rsidRPr="007D05C2">
        <w:rPr>
          <w:rFonts w:ascii="Times New Roman" w:eastAsia="Arial Unicode MS" w:hAnsi="Times New Roman" w:cs="Times New Roman"/>
          <w:sz w:val="27"/>
          <w:szCs w:val="27"/>
        </w:rPr>
        <w:t>Постоянным комитетом по социальной политике совместно с профильным министерством Камчатского края прорабатывается предложение заявителя по созданию системы сохранения и развития народных художественных промыслов камчатских ремесленников.</w:t>
      </w:r>
    </w:p>
    <w:p w:rsidR="002E61DA" w:rsidRPr="007D05C2" w:rsidRDefault="002E61DA" w:rsidP="002E61DA">
      <w:pPr>
        <w:autoSpaceDE/>
        <w:autoSpaceDN/>
        <w:adjustRightInd/>
        <w:ind w:firstLine="709"/>
        <w:rPr>
          <w:rFonts w:ascii="Times New Roman" w:eastAsia="Arial Unicode MS" w:hAnsi="Times New Roman" w:cs="Times New Roman"/>
          <w:sz w:val="27"/>
          <w:szCs w:val="27"/>
        </w:rPr>
      </w:pPr>
      <w:r w:rsidRPr="007D05C2">
        <w:rPr>
          <w:rFonts w:ascii="Times New Roman" w:eastAsia="Arial Unicode MS" w:hAnsi="Times New Roman" w:cs="Times New Roman"/>
          <w:sz w:val="27"/>
          <w:szCs w:val="27"/>
        </w:rPr>
        <w:t xml:space="preserve">Одним </w:t>
      </w:r>
      <w:proofErr w:type="gramStart"/>
      <w:r w:rsidRPr="007D05C2">
        <w:rPr>
          <w:rFonts w:ascii="Times New Roman" w:eastAsia="Arial Unicode MS" w:hAnsi="Times New Roman" w:cs="Times New Roman"/>
          <w:sz w:val="27"/>
          <w:szCs w:val="27"/>
        </w:rPr>
        <w:t>из резонансных стало коллективное обращение</w:t>
      </w:r>
      <w:proofErr w:type="gramEnd"/>
      <w:r w:rsidRPr="007D05C2">
        <w:rPr>
          <w:rFonts w:ascii="Times New Roman" w:eastAsia="Arial Unicode MS" w:hAnsi="Times New Roman" w:cs="Times New Roman"/>
          <w:sz w:val="27"/>
          <w:szCs w:val="27"/>
        </w:rPr>
        <w:t xml:space="preserve"> жителей поселка </w:t>
      </w:r>
      <w:proofErr w:type="spellStart"/>
      <w:r w:rsidRPr="007D05C2">
        <w:rPr>
          <w:rFonts w:ascii="Times New Roman" w:eastAsia="Arial Unicode MS" w:hAnsi="Times New Roman" w:cs="Times New Roman"/>
          <w:sz w:val="27"/>
          <w:szCs w:val="27"/>
        </w:rPr>
        <w:t>Завойко</w:t>
      </w:r>
      <w:proofErr w:type="spellEnd"/>
      <w:r w:rsidRPr="007D05C2">
        <w:rPr>
          <w:rFonts w:ascii="Times New Roman" w:eastAsia="Arial Unicode MS" w:hAnsi="Times New Roman" w:cs="Times New Roman"/>
          <w:sz w:val="27"/>
          <w:szCs w:val="27"/>
        </w:rPr>
        <w:t xml:space="preserve">, связанное с закрытием </w:t>
      </w:r>
      <w:r w:rsidRPr="007D05C2">
        <w:rPr>
          <w:rFonts w:ascii="Times New Roman" w:hAnsi="Times New Roman" w:cs="Times New Roman"/>
          <w:color w:val="222222"/>
          <w:sz w:val="27"/>
          <w:szCs w:val="27"/>
        </w:rPr>
        <w:t xml:space="preserve">филиала детской городской поликлиники № 2 из-за аварийности здания, в котором обслуживалось 1340 детей. Родители с детьми для получения медицинской помощи вынуждены были ездить за 10 км от микрорайона. </w:t>
      </w:r>
      <w:r w:rsidRPr="007D05C2">
        <w:rPr>
          <w:rFonts w:ascii="Times New Roman" w:eastAsia="Arial Unicode MS" w:hAnsi="Times New Roman" w:cs="Times New Roman"/>
          <w:sz w:val="27"/>
          <w:szCs w:val="27"/>
        </w:rPr>
        <w:t xml:space="preserve">Депутатами Законодательного Собрания совместно с Правительством Камчатского края вопрос восстановления приема детей врачом-педиатром в поселке </w:t>
      </w:r>
      <w:proofErr w:type="spellStart"/>
      <w:r w:rsidRPr="007D05C2">
        <w:rPr>
          <w:rFonts w:ascii="Times New Roman" w:eastAsia="Arial Unicode MS" w:hAnsi="Times New Roman" w:cs="Times New Roman"/>
          <w:sz w:val="27"/>
          <w:szCs w:val="27"/>
        </w:rPr>
        <w:t>Завойко</w:t>
      </w:r>
      <w:proofErr w:type="spellEnd"/>
      <w:r w:rsidRPr="007D05C2">
        <w:rPr>
          <w:rFonts w:ascii="Times New Roman" w:eastAsia="Arial Unicode MS" w:hAnsi="Times New Roman" w:cs="Times New Roman"/>
          <w:sz w:val="27"/>
          <w:szCs w:val="27"/>
        </w:rPr>
        <w:t xml:space="preserve"> решен положительно. </w:t>
      </w:r>
    </w:p>
    <w:p w:rsidR="002E61DA" w:rsidRDefault="002E61DA" w:rsidP="002E61DA">
      <w:pPr>
        <w:ind w:firstLine="709"/>
        <w:rPr>
          <w:rFonts w:ascii="Times New Roman" w:eastAsia="Arial Unicode MS" w:hAnsi="Times New Roman" w:cs="Times New Roman"/>
          <w:sz w:val="27"/>
          <w:szCs w:val="27"/>
        </w:rPr>
      </w:pPr>
      <w:r w:rsidRPr="007D05C2">
        <w:rPr>
          <w:rFonts w:ascii="Times New Roman" w:eastAsia="Arial Unicode MS" w:hAnsi="Times New Roman" w:cs="Times New Roman"/>
          <w:sz w:val="27"/>
          <w:szCs w:val="27"/>
        </w:rPr>
        <w:t xml:space="preserve">В соответствии с постановлением Законодательного Собрания Камчатского края </w:t>
      </w:r>
      <w:r w:rsidRPr="007D05C2">
        <w:rPr>
          <w:rFonts w:ascii="Times New Roman" w:hAnsi="Times New Roman" w:cs="Times New Roman"/>
          <w:sz w:val="27"/>
          <w:szCs w:val="27"/>
        </w:rPr>
        <w:t xml:space="preserve">от 25.06.2019 № 664 </w:t>
      </w:r>
      <w:r w:rsidR="00C25AA6">
        <w:rPr>
          <w:rFonts w:ascii="Times New Roman" w:eastAsia="Arial Unicode MS" w:hAnsi="Times New Roman" w:cs="Times New Roman"/>
          <w:sz w:val="27"/>
          <w:szCs w:val="27"/>
        </w:rPr>
        <w:t>«</w:t>
      </w:r>
      <w:r w:rsidRPr="007D05C2">
        <w:rPr>
          <w:rFonts w:ascii="Times New Roman" w:eastAsia="Arial Unicode MS" w:hAnsi="Times New Roman" w:cs="Times New Roman"/>
          <w:sz w:val="27"/>
          <w:szCs w:val="27"/>
        </w:rPr>
        <w:t xml:space="preserve">Об утверждении Положения о </w:t>
      </w:r>
      <w:r w:rsidRPr="007D05C2">
        <w:rPr>
          <w:rFonts w:ascii="Times New Roman" w:hAnsi="Times New Roman" w:cs="Times New Roman"/>
          <w:sz w:val="27"/>
          <w:szCs w:val="27"/>
        </w:rPr>
        <w:t>Почетной грамоте Законодательного Собрания Камчатского края</w:t>
      </w:r>
      <w:r w:rsidR="00C25AA6">
        <w:rPr>
          <w:rFonts w:ascii="Times New Roman" w:hAnsi="Times New Roman" w:cs="Times New Roman"/>
          <w:sz w:val="27"/>
          <w:szCs w:val="27"/>
        </w:rPr>
        <w:t>»</w:t>
      </w:r>
      <w:r w:rsidRPr="007D05C2">
        <w:rPr>
          <w:rFonts w:ascii="Times New Roman" w:hAnsi="Times New Roman" w:cs="Times New Roman"/>
          <w:sz w:val="27"/>
          <w:szCs w:val="27"/>
        </w:rPr>
        <w:t xml:space="preserve"> </w:t>
      </w:r>
      <w:r w:rsidRPr="007D05C2">
        <w:rPr>
          <w:rFonts w:ascii="Times New Roman" w:eastAsia="Arial Unicode MS" w:hAnsi="Times New Roman" w:cs="Times New Roman"/>
          <w:sz w:val="27"/>
          <w:szCs w:val="27"/>
        </w:rPr>
        <w:t xml:space="preserve">ходатайство о награждении </w:t>
      </w:r>
      <w:r w:rsidRPr="007D05C2">
        <w:rPr>
          <w:rFonts w:ascii="Times New Roman" w:hAnsi="Times New Roman" w:cs="Times New Roman"/>
          <w:sz w:val="27"/>
          <w:szCs w:val="27"/>
        </w:rPr>
        <w:t xml:space="preserve">могут инициировать: руководитель или коллектив организации, организация по месту общественной деятельности гражданина, депутат Законодательного Собрания. За отчетный период к депутатам Законодательного Собрания поступило </w:t>
      </w:r>
      <w:r w:rsidRPr="007D05C2">
        <w:rPr>
          <w:rFonts w:ascii="Times New Roman" w:eastAsia="Arial Unicode MS" w:hAnsi="Times New Roman" w:cs="Times New Roman"/>
          <w:sz w:val="27"/>
          <w:szCs w:val="27"/>
        </w:rPr>
        <w:t xml:space="preserve">35 обращений (8,2%) по вопросу о награждении Почетной грамотой Законодательного Собрания, из них по решению Президиума Законодательного </w:t>
      </w:r>
      <w:r w:rsidRPr="007D05C2">
        <w:rPr>
          <w:rFonts w:ascii="Times New Roman" w:eastAsia="Arial Unicode MS" w:hAnsi="Times New Roman" w:cs="Times New Roman"/>
          <w:caps/>
          <w:sz w:val="27"/>
          <w:szCs w:val="27"/>
        </w:rPr>
        <w:t>с</w:t>
      </w:r>
      <w:r w:rsidRPr="007D05C2">
        <w:rPr>
          <w:rFonts w:ascii="Times New Roman" w:eastAsia="Arial Unicode MS" w:hAnsi="Times New Roman" w:cs="Times New Roman"/>
          <w:sz w:val="27"/>
          <w:szCs w:val="27"/>
        </w:rPr>
        <w:t>обрания 15 человек награждены.</w:t>
      </w:r>
    </w:p>
    <w:p w:rsidR="002E61DA" w:rsidRDefault="002E61DA" w:rsidP="002E61DA">
      <w:pPr>
        <w:ind w:firstLine="709"/>
        <w:rPr>
          <w:rFonts w:ascii="Times New Roman" w:eastAsia="Calibri" w:hAnsi="Times New Roman" w:cs="Times New Roman"/>
          <w:sz w:val="27"/>
          <w:szCs w:val="27"/>
        </w:rPr>
      </w:pPr>
      <w:r w:rsidRPr="007D05C2">
        <w:rPr>
          <w:rFonts w:ascii="Times New Roman" w:hAnsi="Times New Roman" w:cs="Times New Roman"/>
          <w:color w:val="0A0808"/>
          <w:sz w:val="27"/>
          <w:szCs w:val="27"/>
          <w:shd w:val="clear" w:color="auto" w:fill="FFFFFF"/>
        </w:rPr>
        <w:t>Результат рассмотрения обращений граждан на отчетную дату показывает, что положительно</w:t>
      </w:r>
      <w:r w:rsidRPr="007D05C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7D05C2">
        <w:rPr>
          <w:rFonts w:ascii="Times New Roman" w:hAnsi="Times New Roman" w:cs="Times New Roman"/>
          <w:color w:val="0A0808"/>
          <w:sz w:val="27"/>
          <w:szCs w:val="27"/>
          <w:shd w:val="clear" w:color="auto" w:fill="FFFFFF"/>
        </w:rPr>
        <w:t>решены (</w:t>
      </w:r>
      <w:r w:rsidR="00C25AA6">
        <w:rPr>
          <w:rFonts w:ascii="Times New Roman" w:hAnsi="Times New Roman" w:cs="Times New Roman"/>
          <w:color w:val="0A0808"/>
          <w:sz w:val="27"/>
          <w:szCs w:val="27"/>
          <w:shd w:val="clear" w:color="auto" w:fill="FFFFFF"/>
        </w:rPr>
        <w:t>«</w:t>
      </w:r>
      <w:r w:rsidRPr="007D05C2">
        <w:rPr>
          <w:rFonts w:ascii="Times New Roman" w:hAnsi="Times New Roman" w:cs="Times New Roman"/>
          <w:color w:val="0A0808"/>
          <w:sz w:val="27"/>
          <w:szCs w:val="27"/>
          <w:shd w:val="clear" w:color="auto" w:fill="FFFFFF"/>
        </w:rPr>
        <w:t>разъяснено</w:t>
      </w:r>
      <w:r w:rsidR="00C25AA6">
        <w:rPr>
          <w:rFonts w:ascii="Times New Roman" w:hAnsi="Times New Roman" w:cs="Times New Roman"/>
          <w:color w:val="0A0808"/>
          <w:sz w:val="27"/>
          <w:szCs w:val="27"/>
          <w:shd w:val="clear" w:color="auto" w:fill="FFFFFF"/>
        </w:rPr>
        <w:t>»</w:t>
      </w:r>
      <w:r w:rsidRPr="007D05C2">
        <w:rPr>
          <w:rFonts w:ascii="Times New Roman" w:hAnsi="Times New Roman" w:cs="Times New Roman"/>
          <w:color w:val="0A0808"/>
          <w:sz w:val="27"/>
          <w:szCs w:val="27"/>
          <w:shd w:val="clear" w:color="auto" w:fill="FFFFFF"/>
        </w:rPr>
        <w:t xml:space="preserve">, </w:t>
      </w:r>
      <w:r w:rsidR="00C25AA6">
        <w:rPr>
          <w:rFonts w:ascii="Times New Roman" w:hAnsi="Times New Roman" w:cs="Times New Roman"/>
          <w:color w:val="0A0808"/>
          <w:sz w:val="27"/>
          <w:szCs w:val="27"/>
          <w:shd w:val="clear" w:color="auto" w:fill="FFFFFF"/>
        </w:rPr>
        <w:t>«</w:t>
      </w:r>
      <w:r w:rsidRPr="007D05C2">
        <w:rPr>
          <w:rFonts w:ascii="Times New Roman" w:hAnsi="Times New Roman" w:cs="Times New Roman"/>
          <w:color w:val="0A0808"/>
          <w:sz w:val="27"/>
          <w:szCs w:val="27"/>
          <w:shd w:val="clear" w:color="auto" w:fill="FFFFFF"/>
        </w:rPr>
        <w:t>поддержано</w:t>
      </w:r>
      <w:r w:rsidR="00C25AA6">
        <w:rPr>
          <w:rFonts w:ascii="Times New Roman" w:hAnsi="Times New Roman" w:cs="Times New Roman"/>
          <w:color w:val="0A0808"/>
          <w:sz w:val="27"/>
          <w:szCs w:val="27"/>
          <w:shd w:val="clear" w:color="auto" w:fill="FFFFFF"/>
        </w:rPr>
        <w:t>»</w:t>
      </w:r>
      <w:r w:rsidRPr="007D05C2">
        <w:rPr>
          <w:rFonts w:ascii="Times New Roman" w:hAnsi="Times New Roman" w:cs="Times New Roman"/>
          <w:color w:val="0A0808"/>
          <w:sz w:val="27"/>
          <w:szCs w:val="27"/>
          <w:shd w:val="clear" w:color="auto" w:fill="FFFFFF"/>
        </w:rPr>
        <w:t xml:space="preserve">, </w:t>
      </w:r>
      <w:r w:rsidR="00C25AA6">
        <w:rPr>
          <w:rFonts w:ascii="Times New Roman" w:hAnsi="Times New Roman" w:cs="Times New Roman"/>
          <w:color w:val="0A0808"/>
          <w:sz w:val="27"/>
          <w:szCs w:val="27"/>
          <w:shd w:val="clear" w:color="auto" w:fill="FFFFFF"/>
        </w:rPr>
        <w:t>«</w:t>
      </w:r>
      <w:r w:rsidRPr="007D05C2">
        <w:rPr>
          <w:rFonts w:ascii="Times New Roman" w:hAnsi="Times New Roman" w:cs="Times New Roman"/>
          <w:color w:val="0A0808"/>
          <w:sz w:val="27"/>
          <w:szCs w:val="27"/>
          <w:shd w:val="clear" w:color="auto" w:fill="FFFFFF"/>
        </w:rPr>
        <w:t>меры приняты</w:t>
      </w:r>
      <w:r w:rsidR="00C25AA6">
        <w:rPr>
          <w:rFonts w:ascii="Times New Roman" w:hAnsi="Times New Roman" w:cs="Times New Roman"/>
          <w:color w:val="0A0808"/>
          <w:sz w:val="27"/>
          <w:szCs w:val="27"/>
          <w:shd w:val="clear" w:color="auto" w:fill="FFFFFF"/>
        </w:rPr>
        <w:t>»</w:t>
      </w:r>
      <w:r w:rsidRPr="007D05C2">
        <w:rPr>
          <w:rFonts w:ascii="Times New Roman" w:hAnsi="Times New Roman" w:cs="Times New Roman"/>
          <w:color w:val="0A0808"/>
          <w:sz w:val="27"/>
          <w:szCs w:val="27"/>
          <w:shd w:val="clear" w:color="auto" w:fill="FFFFFF"/>
        </w:rPr>
        <w:t xml:space="preserve">) вопросы </w:t>
      </w:r>
      <w:r w:rsidRPr="007D05C2">
        <w:rPr>
          <w:rFonts w:ascii="Times New Roman" w:eastAsia="Calibri" w:hAnsi="Times New Roman" w:cs="Times New Roman"/>
          <w:sz w:val="27"/>
          <w:szCs w:val="27"/>
        </w:rPr>
        <w:t>по</w:t>
      </w:r>
      <w:r w:rsidRPr="007D05C2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Pr="007D05C2">
        <w:rPr>
          <w:rFonts w:ascii="Times New Roman" w:eastAsia="Calibri" w:hAnsi="Times New Roman" w:cs="Times New Roman"/>
          <w:sz w:val="27"/>
          <w:szCs w:val="27"/>
        </w:rPr>
        <w:t>407</w:t>
      </w:r>
      <w:r w:rsidRPr="007D05C2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Pr="007D05C2">
        <w:rPr>
          <w:rFonts w:ascii="Times New Roman" w:eastAsia="Calibri" w:hAnsi="Times New Roman" w:cs="Times New Roman"/>
          <w:sz w:val="27"/>
          <w:szCs w:val="27"/>
        </w:rPr>
        <w:t>(96%)</w:t>
      </w:r>
      <w:r w:rsidRPr="007D05C2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Pr="007D05C2">
        <w:rPr>
          <w:rFonts w:ascii="Times New Roman" w:eastAsia="Calibri" w:hAnsi="Times New Roman" w:cs="Times New Roman"/>
          <w:sz w:val="27"/>
          <w:szCs w:val="27"/>
        </w:rPr>
        <w:t xml:space="preserve">обращениям, обоснованный отказ дан на 1 обращение (отказано в обустройстве </w:t>
      </w:r>
      <w:r w:rsidRPr="007D05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искусственных неровностей </w:t>
      </w:r>
      <w:r w:rsidR="00C25A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 w:rsidRPr="007D05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Лежачий полицейский</w:t>
      </w:r>
      <w:r w:rsidR="00C25A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Pr="007D05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установке дорожного знака </w:t>
      </w:r>
      <w:r w:rsidR="00C25A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 w:rsidRPr="007D05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Ограничение максимальной скорости</w:t>
      </w:r>
      <w:r w:rsidR="00C25A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Pr="007D05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 связи с нецелесообразностью)</w:t>
      </w:r>
      <w:r w:rsidRPr="007D05C2">
        <w:rPr>
          <w:rFonts w:ascii="Times New Roman" w:eastAsia="Calibri" w:hAnsi="Times New Roman" w:cs="Times New Roman"/>
          <w:sz w:val="27"/>
          <w:szCs w:val="27"/>
        </w:rPr>
        <w:t>, 19</w:t>
      </w:r>
      <w:r w:rsidRPr="007D05C2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Pr="007D05C2">
        <w:rPr>
          <w:rFonts w:ascii="Times New Roman" w:eastAsia="Calibri" w:hAnsi="Times New Roman" w:cs="Times New Roman"/>
          <w:sz w:val="27"/>
          <w:szCs w:val="27"/>
        </w:rPr>
        <w:t xml:space="preserve">обращений находятся на исполнении и контроле. </w:t>
      </w:r>
    </w:p>
    <w:p w:rsidR="002E61DA" w:rsidRDefault="002E61DA" w:rsidP="002E61DA">
      <w:pPr>
        <w:ind w:firstLine="709"/>
        <w:rPr>
          <w:rFonts w:ascii="Times New Roman" w:hAnsi="Times New Roman" w:cs="Times New Roman"/>
          <w:sz w:val="27"/>
          <w:szCs w:val="27"/>
        </w:rPr>
      </w:pPr>
      <w:r w:rsidRPr="007D05C2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В целях объективного и всестороннего рассмотрения проблемных вопросов, изложенных в обращениях граждан, депутатами Законодательного Собрания за отчетный период направлено более 338 запросов в государственные органы, органы местного самоуправления и должностным лицам, из которых: </w:t>
      </w:r>
      <w:r w:rsidRPr="007D05C2">
        <w:rPr>
          <w:rFonts w:ascii="Times New Roman" w:hAnsi="Times New Roman" w:cs="Times New Roman"/>
          <w:sz w:val="27"/>
          <w:szCs w:val="27"/>
        </w:rPr>
        <w:t>48 запросов направлено Главе Администрации Петропавловск-Камчатского городского округа, 31 запрос направлен в иные ор</w:t>
      </w:r>
      <w:r>
        <w:rPr>
          <w:rFonts w:ascii="Times New Roman" w:hAnsi="Times New Roman" w:cs="Times New Roman"/>
          <w:sz w:val="27"/>
          <w:szCs w:val="27"/>
        </w:rPr>
        <w:t xml:space="preserve">ганы местного самоуправления, </w:t>
      </w:r>
      <w:r w:rsidRPr="007D05C2">
        <w:rPr>
          <w:rFonts w:ascii="Times New Roman" w:hAnsi="Times New Roman" w:cs="Times New Roman"/>
          <w:sz w:val="27"/>
          <w:szCs w:val="27"/>
        </w:rPr>
        <w:t xml:space="preserve">2 запроса на имя Губернатора Камчатского края В.И. </w:t>
      </w:r>
      <w:proofErr w:type="spellStart"/>
      <w:r w:rsidRPr="007D05C2">
        <w:rPr>
          <w:rFonts w:ascii="Times New Roman" w:hAnsi="Times New Roman" w:cs="Times New Roman"/>
          <w:sz w:val="27"/>
          <w:szCs w:val="27"/>
        </w:rPr>
        <w:t>Илюхина</w:t>
      </w:r>
      <w:proofErr w:type="spellEnd"/>
      <w:r w:rsidRPr="007D05C2">
        <w:rPr>
          <w:rFonts w:ascii="Times New Roman" w:hAnsi="Times New Roman" w:cs="Times New Roman"/>
          <w:sz w:val="27"/>
          <w:szCs w:val="27"/>
        </w:rPr>
        <w:t xml:space="preserve">, 257 запросов направлены в соответствии с компетенцией в министерства, агентства и ведомства Камчатского края. </w:t>
      </w:r>
      <w:proofErr w:type="gramStart"/>
      <w:r w:rsidRPr="007D05C2">
        <w:rPr>
          <w:rFonts w:ascii="Times New Roman" w:hAnsi="Times New Roman" w:cs="Times New Roman"/>
          <w:sz w:val="27"/>
          <w:szCs w:val="27"/>
        </w:rPr>
        <w:t>По существу</w:t>
      </w:r>
      <w:proofErr w:type="gramEnd"/>
      <w:r w:rsidRPr="007D05C2">
        <w:rPr>
          <w:rFonts w:ascii="Times New Roman" w:hAnsi="Times New Roman" w:cs="Times New Roman"/>
          <w:sz w:val="27"/>
          <w:szCs w:val="27"/>
        </w:rPr>
        <w:t xml:space="preserve"> поставленных вопросов з</w:t>
      </w:r>
      <w:r w:rsidRPr="007D05C2">
        <w:rPr>
          <w:rFonts w:ascii="Times New Roman" w:eastAsia="Calibri" w:hAnsi="Times New Roman" w:cs="Times New Roman"/>
          <w:sz w:val="27"/>
          <w:szCs w:val="27"/>
        </w:rPr>
        <w:t xml:space="preserve">аявителям дан </w:t>
      </w:r>
      <w:r w:rsidRPr="007D05C2">
        <w:rPr>
          <w:rFonts w:ascii="Times New Roman" w:hAnsi="Times New Roman" w:cs="Times New Roman"/>
          <w:sz w:val="27"/>
          <w:szCs w:val="27"/>
        </w:rPr>
        <w:t xml:space="preserve">501 промежуточный и окончательный ответ. </w:t>
      </w:r>
    </w:p>
    <w:p w:rsidR="002E61DA" w:rsidRDefault="002E61DA" w:rsidP="002E61DA">
      <w:pPr>
        <w:ind w:firstLine="709"/>
        <w:rPr>
          <w:rFonts w:ascii="Times New Roman" w:hAnsi="Times New Roman" w:cs="Times New Roman"/>
          <w:color w:val="000000"/>
          <w:spacing w:val="2"/>
          <w:sz w:val="27"/>
          <w:szCs w:val="27"/>
        </w:rPr>
      </w:pPr>
      <w:r w:rsidRPr="007D05C2">
        <w:rPr>
          <w:rFonts w:ascii="Times New Roman" w:hAnsi="Times New Roman" w:cs="Times New Roman"/>
          <w:color w:val="000000"/>
          <w:spacing w:val="2"/>
          <w:sz w:val="27"/>
          <w:szCs w:val="27"/>
        </w:rPr>
        <w:lastRenderedPageBreak/>
        <w:t>Во исполнение Указа Президента Российской Федерации от 17.04.2017</w:t>
      </w:r>
      <w:r>
        <w:rPr>
          <w:rFonts w:ascii="Times New Roman" w:hAnsi="Times New Roman" w:cs="Times New Roman"/>
          <w:color w:val="000000"/>
          <w:spacing w:val="2"/>
          <w:sz w:val="27"/>
          <w:szCs w:val="27"/>
        </w:rPr>
        <w:t xml:space="preserve">        </w:t>
      </w:r>
      <w:r w:rsidRPr="007D05C2">
        <w:rPr>
          <w:rFonts w:ascii="Times New Roman" w:hAnsi="Times New Roman" w:cs="Times New Roman"/>
          <w:color w:val="000000"/>
          <w:spacing w:val="2"/>
          <w:sz w:val="27"/>
          <w:szCs w:val="27"/>
        </w:rPr>
        <w:t xml:space="preserve"> № 171 </w:t>
      </w:r>
      <w:r w:rsidR="00C25AA6">
        <w:rPr>
          <w:rFonts w:ascii="Times New Roman" w:hAnsi="Times New Roman" w:cs="Times New Roman"/>
          <w:color w:val="000000"/>
          <w:spacing w:val="2"/>
          <w:sz w:val="27"/>
          <w:szCs w:val="27"/>
        </w:rPr>
        <w:t>«</w:t>
      </w:r>
      <w:r w:rsidRPr="007D05C2">
        <w:rPr>
          <w:rFonts w:ascii="Times New Roman" w:hAnsi="Times New Roman" w:cs="Times New Roman"/>
          <w:color w:val="000000"/>
          <w:spacing w:val="2"/>
          <w:sz w:val="27"/>
          <w:szCs w:val="27"/>
        </w:rPr>
        <w:t>О мониторинге и анализе результатов рассмотрения обращений граждан и организаций</w:t>
      </w:r>
      <w:r w:rsidR="00C25AA6">
        <w:rPr>
          <w:rFonts w:ascii="Times New Roman" w:hAnsi="Times New Roman" w:cs="Times New Roman"/>
          <w:color w:val="000000"/>
          <w:spacing w:val="2"/>
          <w:sz w:val="27"/>
          <w:szCs w:val="27"/>
        </w:rPr>
        <w:t>»</w:t>
      </w:r>
      <w:r w:rsidRPr="007D05C2">
        <w:rPr>
          <w:rFonts w:ascii="Times New Roman" w:hAnsi="Times New Roman" w:cs="Times New Roman"/>
          <w:color w:val="000000"/>
          <w:spacing w:val="2"/>
          <w:sz w:val="27"/>
          <w:szCs w:val="27"/>
        </w:rPr>
        <w:t xml:space="preserve"> вся информация о поступивших в Законодательное Собрание обращениях граждан и принятых мерах по ним размещается на закрытом информационном ресурсе ССТУ.РФ в разделе </w:t>
      </w:r>
      <w:r w:rsidR="00C25AA6">
        <w:rPr>
          <w:rFonts w:ascii="Times New Roman" w:hAnsi="Times New Roman" w:cs="Times New Roman"/>
          <w:color w:val="000000"/>
          <w:spacing w:val="2"/>
          <w:sz w:val="27"/>
          <w:szCs w:val="27"/>
        </w:rPr>
        <w:t>«</w:t>
      </w:r>
      <w:r w:rsidRPr="007D05C2">
        <w:rPr>
          <w:rFonts w:ascii="Times New Roman" w:hAnsi="Times New Roman" w:cs="Times New Roman"/>
          <w:color w:val="000000"/>
          <w:spacing w:val="2"/>
          <w:sz w:val="27"/>
          <w:szCs w:val="27"/>
        </w:rPr>
        <w:t>Результаты рассмотрения обращений</w:t>
      </w:r>
      <w:r w:rsidR="00C25AA6">
        <w:rPr>
          <w:rFonts w:ascii="Times New Roman" w:hAnsi="Times New Roman" w:cs="Times New Roman"/>
          <w:color w:val="000000"/>
          <w:spacing w:val="2"/>
          <w:sz w:val="27"/>
          <w:szCs w:val="27"/>
        </w:rPr>
        <w:t>»</w:t>
      </w:r>
      <w:r w:rsidRPr="007D05C2">
        <w:rPr>
          <w:rFonts w:ascii="Times New Roman" w:hAnsi="Times New Roman" w:cs="Times New Roman"/>
          <w:color w:val="000000"/>
          <w:spacing w:val="2"/>
          <w:sz w:val="27"/>
          <w:szCs w:val="27"/>
        </w:rPr>
        <w:t xml:space="preserve"> информационно-телекоммуникационной сети </w:t>
      </w:r>
      <w:r w:rsidR="00C25AA6">
        <w:rPr>
          <w:rFonts w:ascii="Times New Roman" w:hAnsi="Times New Roman" w:cs="Times New Roman"/>
          <w:color w:val="000000"/>
          <w:spacing w:val="2"/>
          <w:sz w:val="27"/>
          <w:szCs w:val="27"/>
        </w:rPr>
        <w:t>«</w:t>
      </w:r>
      <w:r w:rsidRPr="007D05C2">
        <w:rPr>
          <w:rFonts w:ascii="Times New Roman" w:hAnsi="Times New Roman" w:cs="Times New Roman"/>
          <w:color w:val="000000"/>
          <w:spacing w:val="2"/>
          <w:sz w:val="27"/>
          <w:szCs w:val="27"/>
        </w:rPr>
        <w:t>Интернет</w:t>
      </w:r>
      <w:r w:rsidR="00C25AA6">
        <w:rPr>
          <w:rFonts w:ascii="Times New Roman" w:hAnsi="Times New Roman" w:cs="Times New Roman"/>
          <w:color w:val="000000"/>
          <w:spacing w:val="2"/>
          <w:sz w:val="27"/>
          <w:szCs w:val="27"/>
        </w:rPr>
        <w:t>»</w:t>
      </w:r>
      <w:r w:rsidRPr="007D05C2">
        <w:rPr>
          <w:rFonts w:ascii="Times New Roman" w:hAnsi="Times New Roman" w:cs="Times New Roman"/>
          <w:color w:val="000000"/>
          <w:spacing w:val="2"/>
          <w:sz w:val="27"/>
          <w:szCs w:val="27"/>
        </w:rPr>
        <w:t xml:space="preserve"> для предоставления в Администрацию Президента Российской Федерации. </w:t>
      </w:r>
    </w:p>
    <w:p w:rsidR="002E61DA" w:rsidRDefault="002E61DA" w:rsidP="002E61DA">
      <w:pPr>
        <w:ind w:firstLine="709"/>
        <w:rPr>
          <w:rFonts w:ascii="Times New Roman" w:eastAsia="Calibri" w:hAnsi="Times New Roman" w:cs="Times New Roman"/>
          <w:sz w:val="27"/>
          <w:szCs w:val="27"/>
        </w:rPr>
      </w:pPr>
      <w:r w:rsidRPr="007D05C2">
        <w:rPr>
          <w:rFonts w:ascii="Times New Roman" w:eastAsia="Arial Unicode MS" w:hAnsi="Times New Roman" w:cs="Times New Roman"/>
          <w:sz w:val="27"/>
          <w:szCs w:val="27"/>
        </w:rPr>
        <w:t xml:space="preserve">Одной из важных составляющих работы с обращениями граждан является личный прием. </w:t>
      </w:r>
      <w:r w:rsidRPr="007D05C2">
        <w:rPr>
          <w:rFonts w:ascii="Times New Roman" w:eastAsia="Calibri" w:hAnsi="Times New Roman" w:cs="Times New Roman"/>
          <w:sz w:val="27"/>
          <w:szCs w:val="27"/>
        </w:rPr>
        <w:t>В ходе проведенных личных приемов депутатами Законодательного Собрания за 2019 год в избирательных округах, общественных приемных по различным вопросам принято 2474 человека.</w:t>
      </w:r>
    </w:p>
    <w:p w:rsidR="002E61DA" w:rsidRDefault="002E61DA" w:rsidP="002E61DA">
      <w:pPr>
        <w:ind w:firstLine="709"/>
        <w:rPr>
          <w:rFonts w:ascii="Times New Roman" w:eastAsia="Calibri" w:hAnsi="Times New Roman" w:cs="Times New Roman"/>
          <w:sz w:val="27"/>
          <w:szCs w:val="27"/>
        </w:rPr>
      </w:pPr>
      <w:r w:rsidRPr="007D05C2">
        <w:rPr>
          <w:rFonts w:ascii="Times New Roman" w:eastAsia="Calibri" w:hAnsi="Times New Roman" w:cs="Times New Roman"/>
          <w:sz w:val="27"/>
          <w:szCs w:val="27"/>
        </w:rPr>
        <w:t xml:space="preserve">Из них в Региональной общественной приемной Председателя Партии </w:t>
      </w:r>
      <w:r w:rsidR="00C25AA6">
        <w:rPr>
          <w:rFonts w:ascii="Times New Roman" w:eastAsia="Calibri" w:hAnsi="Times New Roman" w:cs="Times New Roman"/>
          <w:sz w:val="27"/>
          <w:szCs w:val="27"/>
        </w:rPr>
        <w:t>«</w:t>
      </w:r>
      <w:r w:rsidRPr="007D05C2">
        <w:rPr>
          <w:rFonts w:ascii="Times New Roman" w:eastAsia="Calibri" w:hAnsi="Times New Roman" w:cs="Times New Roman"/>
          <w:sz w:val="27"/>
          <w:szCs w:val="27"/>
        </w:rPr>
        <w:t>ЕДИНАЯ РОССИЯ</w:t>
      </w:r>
      <w:r w:rsidR="00C25AA6">
        <w:rPr>
          <w:rFonts w:ascii="Times New Roman" w:eastAsia="Calibri" w:hAnsi="Times New Roman" w:cs="Times New Roman"/>
          <w:sz w:val="27"/>
          <w:szCs w:val="27"/>
        </w:rPr>
        <w:t>»</w:t>
      </w:r>
      <w:r w:rsidRPr="007D05C2">
        <w:rPr>
          <w:rFonts w:ascii="Times New Roman" w:eastAsia="Calibri" w:hAnsi="Times New Roman" w:cs="Times New Roman"/>
          <w:sz w:val="27"/>
          <w:szCs w:val="27"/>
        </w:rPr>
        <w:t xml:space="preserve"> Д.А. Медведева краевыми депутатами принято 864</w:t>
      </w:r>
      <w:r w:rsidRPr="007D05C2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Pr="007D05C2">
        <w:rPr>
          <w:rFonts w:ascii="Times New Roman" w:eastAsia="Calibri" w:hAnsi="Times New Roman" w:cs="Times New Roman"/>
          <w:sz w:val="27"/>
          <w:szCs w:val="27"/>
        </w:rPr>
        <w:t xml:space="preserve">гражданина (зарегистрировано 864 обращения), из них: Агеевым В.А. – 54 человека, Волковым К.С. – 12, Галянт С.А. – 86, Гранатовым Р.Г. – 51, </w:t>
      </w:r>
      <w:proofErr w:type="spellStart"/>
      <w:r w:rsidRPr="007D05C2">
        <w:rPr>
          <w:rFonts w:ascii="Times New Roman" w:eastAsia="Calibri" w:hAnsi="Times New Roman" w:cs="Times New Roman"/>
          <w:sz w:val="27"/>
          <w:szCs w:val="27"/>
        </w:rPr>
        <w:t>Долгунковым</w:t>
      </w:r>
      <w:proofErr w:type="spellEnd"/>
      <w:r w:rsidRPr="007D05C2">
        <w:rPr>
          <w:rFonts w:ascii="Times New Roman" w:eastAsia="Calibri" w:hAnsi="Times New Roman" w:cs="Times New Roman"/>
          <w:sz w:val="27"/>
          <w:szCs w:val="27"/>
        </w:rPr>
        <w:t xml:space="preserve"> А.А. – 26, Ермоленко Е.Н. – 32, Евтушок И.П. – 28, Кирносенко А.В. – 56, Копыловым А.А. – 83, </w:t>
      </w:r>
      <w:proofErr w:type="spellStart"/>
      <w:r w:rsidRPr="007D05C2">
        <w:rPr>
          <w:rFonts w:ascii="Times New Roman" w:eastAsia="Calibri" w:hAnsi="Times New Roman" w:cs="Times New Roman"/>
          <w:sz w:val="27"/>
          <w:szCs w:val="27"/>
        </w:rPr>
        <w:t>Лимановым</w:t>
      </w:r>
      <w:proofErr w:type="spellEnd"/>
      <w:r w:rsidRPr="007D05C2">
        <w:rPr>
          <w:rFonts w:ascii="Times New Roman" w:eastAsia="Calibri" w:hAnsi="Times New Roman" w:cs="Times New Roman"/>
          <w:sz w:val="27"/>
          <w:szCs w:val="27"/>
        </w:rPr>
        <w:t xml:space="preserve"> А.С. – 79, Ломакиным Ю.В. – 39, Мойсюк А.А. – 16, </w:t>
      </w:r>
      <w:proofErr w:type="spellStart"/>
      <w:r w:rsidRPr="007D05C2">
        <w:rPr>
          <w:rFonts w:ascii="Times New Roman" w:eastAsia="Calibri" w:hAnsi="Times New Roman" w:cs="Times New Roman"/>
          <w:sz w:val="27"/>
          <w:szCs w:val="27"/>
        </w:rPr>
        <w:t>Новоселовым</w:t>
      </w:r>
      <w:proofErr w:type="spellEnd"/>
      <w:r w:rsidRPr="007D05C2">
        <w:rPr>
          <w:rFonts w:ascii="Times New Roman" w:eastAsia="Calibri" w:hAnsi="Times New Roman" w:cs="Times New Roman"/>
          <w:sz w:val="27"/>
          <w:szCs w:val="27"/>
        </w:rPr>
        <w:t xml:space="preserve"> Е.А. – 46, Редькиным И.В. – 52, Раенко В.Ф. – 49, Романовой Т.Ф. – 14, </w:t>
      </w:r>
      <w:proofErr w:type="spellStart"/>
      <w:r w:rsidRPr="007D05C2">
        <w:rPr>
          <w:rFonts w:ascii="Times New Roman" w:eastAsia="Calibri" w:hAnsi="Times New Roman" w:cs="Times New Roman"/>
          <w:sz w:val="27"/>
          <w:szCs w:val="27"/>
        </w:rPr>
        <w:t>Стуковым</w:t>
      </w:r>
      <w:proofErr w:type="spellEnd"/>
      <w:r w:rsidRPr="007D05C2">
        <w:rPr>
          <w:rFonts w:ascii="Times New Roman" w:eastAsia="Calibri" w:hAnsi="Times New Roman" w:cs="Times New Roman"/>
          <w:sz w:val="27"/>
          <w:szCs w:val="27"/>
        </w:rPr>
        <w:t xml:space="preserve"> А.Ю. – 37, Ткаченко Т.В. – 31, Тимофеевым Д.Р. – 16, Чуевым Б.Н. – 16, </w:t>
      </w:r>
      <w:proofErr w:type="spellStart"/>
      <w:r w:rsidRPr="007D05C2">
        <w:rPr>
          <w:rFonts w:ascii="Times New Roman" w:eastAsia="Calibri" w:hAnsi="Times New Roman" w:cs="Times New Roman"/>
          <w:sz w:val="27"/>
          <w:szCs w:val="27"/>
        </w:rPr>
        <w:t>Шамояном</w:t>
      </w:r>
      <w:proofErr w:type="spellEnd"/>
      <w:r w:rsidRPr="007D05C2">
        <w:rPr>
          <w:rFonts w:ascii="Times New Roman" w:eastAsia="Calibri" w:hAnsi="Times New Roman" w:cs="Times New Roman"/>
          <w:sz w:val="27"/>
          <w:szCs w:val="27"/>
        </w:rPr>
        <w:t xml:space="preserve"> Р.Ф. – 41 человек. </w:t>
      </w:r>
    </w:p>
    <w:p w:rsidR="002E61DA" w:rsidRDefault="002E61DA" w:rsidP="002E61DA">
      <w:pPr>
        <w:ind w:firstLine="709"/>
        <w:rPr>
          <w:rFonts w:ascii="Times New Roman" w:eastAsia="Calibri" w:hAnsi="Times New Roman" w:cs="Times New Roman"/>
          <w:sz w:val="27"/>
          <w:szCs w:val="27"/>
        </w:rPr>
      </w:pPr>
      <w:r w:rsidRPr="007D05C2">
        <w:rPr>
          <w:rFonts w:ascii="Times New Roman" w:eastAsia="Calibri" w:hAnsi="Times New Roman" w:cs="Times New Roman"/>
          <w:sz w:val="27"/>
          <w:szCs w:val="27"/>
        </w:rPr>
        <w:t>Обращения к депутатам в ходе личного приема касались различных сфер жизнедеятельности. Анализ показывает, что наиболее актуальными для населения остаются вопросы социального обеспечения (48%); предоставления жилищно-коммунальных услуг (20%); обеспечения жильем (14%); вопросы промышленности, строительства, транспорта и связи (6%); здравоохранения (5%) и пр.</w:t>
      </w:r>
    </w:p>
    <w:p w:rsidR="002E61DA" w:rsidRDefault="002E61DA" w:rsidP="002E61DA">
      <w:pPr>
        <w:ind w:firstLine="709"/>
        <w:rPr>
          <w:rFonts w:ascii="Times New Roman" w:eastAsia="Calibri" w:hAnsi="Times New Roman" w:cs="Times New Roman"/>
          <w:sz w:val="27"/>
          <w:szCs w:val="27"/>
        </w:rPr>
      </w:pPr>
      <w:r w:rsidRPr="007D05C2">
        <w:rPr>
          <w:rFonts w:ascii="Times New Roman" w:eastAsia="Calibri" w:hAnsi="Times New Roman" w:cs="Times New Roman"/>
          <w:sz w:val="27"/>
          <w:szCs w:val="27"/>
        </w:rPr>
        <w:t xml:space="preserve">Региональная общественная приемная Председателя Партии </w:t>
      </w:r>
      <w:r w:rsidR="00C25AA6">
        <w:rPr>
          <w:rFonts w:ascii="Times New Roman" w:eastAsia="Calibri" w:hAnsi="Times New Roman" w:cs="Times New Roman"/>
          <w:sz w:val="27"/>
          <w:szCs w:val="27"/>
        </w:rPr>
        <w:t>«</w:t>
      </w:r>
      <w:r w:rsidRPr="007D05C2">
        <w:rPr>
          <w:rFonts w:ascii="Times New Roman" w:eastAsia="Calibri" w:hAnsi="Times New Roman" w:cs="Times New Roman"/>
          <w:sz w:val="27"/>
          <w:szCs w:val="27"/>
        </w:rPr>
        <w:t>ЕДИНАЯ РОССИЯ</w:t>
      </w:r>
      <w:r w:rsidR="00C25AA6">
        <w:rPr>
          <w:rFonts w:ascii="Times New Roman" w:eastAsia="Calibri" w:hAnsi="Times New Roman" w:cs="Times New Roman"/>
          <w:sz w:val="27"/>
          <w:szCs w:val="27"/>
        </w:rPr>
        <w:t>»</w:t>
      </w:r>
      <w:r w:rsidRPr="007D05C2">
        <w:rPr>
          <w:rFonts w:ascii="Times New Roman" w:eastAsia="Calibri" w:hAnsi="Times New Roman" w:cs="Times New Roman"/>
          <w:sz w:val="27"/>
          <w:szCs w:val="27"/>
        </w:rPr>
        <w:t xml:space="preserve"> Д.А. Медведева остается важным звеном обратной связи с населением.</w:t>
      </w:r>
    </w:p>
    <w:p w:rsidR="002E61DA" w:rsidRDefault="002E61DA" w:rsidP="002E61DA">
      <w:pPr>
        <w:ind w:firstLine="709"/>
        <w:rPr>
          <w:rFonts w:ascii="Times New Roman" w:eastAsia="Arial Unicode MS" w:hAnsi="Times New Roman" w:cs="Times New Roman"/>
          <w:sz w:val="27"/>
          <w:szCs w:val="27"/>
        </w:rPr>
      </w:pPr>
      <w:r w:rsidRPr="007D05C2">
        <w:rPr>
          <w:rFonts w:ascii="Times New Roman" w:eastAsia="Arial Unicode MS" w:hAnsi="Times New Roman" w:cs="Times New Roman"/>
          <w:sz w:val="27"/>
          <w:szCs w:val="27"/>
        </w:rPr>
        <w:t>В</w:t>
      </w:r>
      <w:r w:rsidRPr="007D05C2">
        <w:rPr>
          <w:rFonts w:ascii="Times New Roman" w:hAnsi="Times New Roman" w:cs="Times New Roman"/>
          <w:sz w:val="27"/>
          <w:szCs w:val="27"/>
        </w:rPr>
        <w:t xml:space="preserve"> рамках деятельности региональной общественной приемной успешно практикуется проведение тематических приемов по жизненно важным вопросам, имеющим значение для населения, с </w:t>
      </w:r>
      <w:r w:rsidRPr="007D05C2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участием представителей органов исполнительной власти, органов местного самоуправления, правоохранительных и надзорных органов, общественности.</w:t>
      </w:r>
      <w:r w:rsidRPr="007D05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 отчетный период организовано и проведено тринадцать тематических п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риемов (обратилось 50 человек).</w:t>
      </w:r>
    </w:p>
    <w:p w:rsidR="002E61DA" w:rsidRDefault="002E61DA" w:rsidP="002E61DA">
      <w:pPr>
        <w:ind w:firstLine="709"/>
        <w:rPr>
          <w:rFonts w:ascii="Times New Roman" w:eastAsia="Calibri" w:hAnsi="Times New Roman" w:cs="Times New Roman"/>
          <w:sz w:val="27"/>
          <w:szCs w:val="27"/>
        </w:rPr>
      </w:pPr>
      <w:r w:rsidRPr="007D05C2">
        <w:rPr>
          <w:rFonts w:ascii="Times New Roman" w:hAnsi="Times New Roman" w:cs="Times New Roman"/>
          <w:iCs/>
          <w:sz w:val="27"/>
          <w:szCs w:val="27"/>
          <w:shd w:val="clear" w:color="auto" w:fill="FFFFFF"/>
        </w:rPr>
        <w:t>По оказанию правовой помощи жителям края</w:t>
      </w:r>
      <w:r w:rsidRPr="007D05C2">
        <w:rPr>
          <w:rFonts w:ascii="Times New Roman" w:eastAsia="Arial Unicode MS" w:hAnsi="Times New Roman" w:cs="Times New Roman"/>
          <w:sz w:val="27"/>
          <w:szCs w:val="27"/>
        </w:rPr>
        <w:t xml:space="preserve"> </w:t>
      </w:r>
      <w:r w:rsidRPr="007D05C2">
        <w:rPr>
          <w:rFonts w:ascii="Times New Roman" w:eastAsia="Calibri" w:hAnsi="Times New Roman" w:cs="Times New Roman"/>
          <w:sz w:val="27"/>
          <w:szCs w:val="27"/>
        </w:rPr>
        <w:t xml:space="preserve">совместно с Камчатским региональным отделением </w:t>
      </w:r>
      <w:r w:rsidR="00C25AA6">
        <w:rPr>
          <w:rFonts w:ascii="Times New Roman" w:eastAsia="Calibri" w:hAnsi="Times New Roman" w:cs="Times New Roman"/>
          <w:sz w:val="27"/>
          <w:szCs w:val="27"/>
        </w:rPr>
        <w:t>«</w:t>
      </w:r>
      <w:r w:rsidRPr="007D05C2">
        <w:rPr>
          <w:rFonts w:ascii="Times New Roman" w:eastAsia="Calibri" w:hAnsi="Times New Roman" w:cs="Times New Roman"/>
          <w:sz w:val="27"/>
          <w:szCs w:val="27"/>
        </w:rPr>
        <w:t>Ассоциация юристов России</w:t>
      </w:r>
      <w:r w:rsidR="00C25AA6">
        <w:rPr>
          <w:rFonts w:ascii="Times New Roman" w:eastAsia="Calibri" w:hAnsi="Times New Roman" w:cs="Times New Roman"/>
          <w:sz w:val="27"/>
          <w:szCs w:val="27"/>
        </w:rPr>
        <w:t>»</w:t>
      </w:r>
      <w:r w:rsidRPr="007D05C2">
        <w:rPr>
          <w:rFonts w:ascii="Times New Roman" w:eastAsia="Calibri" w:hAnsi="Times New Roman" w:cs="Times New Roman"/>
          <w:sz w:val="27"/>
          <w:szCs w:val="27"/>
        </w:rPr>
        <w:t xml:space="preserve"> за 2019 год</w:t>
      </w:r>
      <w:r w:rsidRPr="007D05C2">
        <w:rPr>
          <w:rFonts w:ascii="Times New Roman" w:hAnsi="Times New Roman" w:cs="Times New Roman"/>
          <w:i/>
          <w:iCs/>
          <w:sz w:val="27"/>
          <w:szCs w:val="27"/>
          <w:shd w:val="clear" w:color="auto" w:fill="FFFFFF"/>
        </w:rPr>
        <w:t xml:space="preserve"> </w:t>
      </w:r>
      <w:r w:rsidRPr="007D05C2">
        <w:rPr>
          <w:rFonts w:ascii="Times New Roman" w:eastAsia="Calibri" w:hAnsi="Times New Roman" w:cs="Times New Roman"/>
          <w:sz w:val="27"/>
          <w:szCs w:val="27"/>
        </w:rPr>
        <w:t>проведено четыре приема</w:t>
      </w:r>
      <w:r w:rsidRPr="007D05C2">
        <w:rPr>
          <w:rFonts w:ascii="Times New Roman" w:hAnsi="Times New Roman" w:cs="Times New Roman"/>
          <w:i/>
          <w:iCs/>
          <w:sz w:val="27"/>
          <w:szCs w:val="27"/>
          <w:shd w:val="clear" w:color="auto" w:fill="FFFFFF"/>
        </w:rPr>
        <w:t xml:space="preserve">, </w:t>
      </w:r>
      <w:r w:rsidRPr="007D05C2">
        <w:rPr>
          <w:rFonts w:ascii="Times New Roman" w:eastAsia="Calibri" w:hAnsi="Times New Roman" w:cs="Times New Roman"/>
          <w:sz w:val="27"/>
          <w:szCs w:val="27"/>
        </w:rPr>
        <w:t>бесплатная юридическая помощь оказана 71 гражданину по вопросам трудового, семейного и жилищного права, а также социального обеспечения и пр.</w:t>
      </w:r>
    </w:p>
    <w:p w:rsidR="002E61DA" w:rsidRDefault="002E61DA" w:rsidP="002E61DA">
      <w:pPr>
        <w:ind w:firstLine="709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7D05C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Одним из направлений работы </w:t>
      </w:r>
      <w:r w:rsidRPr="007D05C2">
        <w:rPr>
          <w:rFonts w:ascii="Times New Roman" w:hAnsi="Times New Roman" w:cs="Times New Roman"/>
          <w:sz w:val="27"/>
          <w:szCs w:val="27"/>
        </w:rPr>
        <w:t xml:space="preserve">Региональной общественной приемной </w:t>
      </w:r>
      <w:r w:rsidRPr="007D05C2">
        <w:rPr>
          <w:rFonts w:ascii="Times New Roman" w:eastAsia="Calibri" w:hAnsi="Times New Roman" w:cs="Times New Roman"/>
          <w:sz w:val="27"/>
          <w:szCs w:val="27"/>
        </w:rPr>
        <w:t xml:space="preserve">Председателя Партии </w:t>
      </w:r>
      <w:r w:rsidR="00C25AA6">
        <w:rPr>
          <w:rFonts w:ascii="Times New Roman" w:eastAsia="Calibri" w:hAnsi="Times New Roman" w:cs="Times New Roman"/>
          <w:sz w:val="27"/>
          <w:szCs w:val="27"/>
        </w:rPr>
        <w:t>«</w:t>
      </w:r>
      <w:r w:rsidRPr="007D05C2">
        <w:rPr>
          <w:rFonts w:ascii="Times New Roman" w:eastAsia="Calibri" w:hAnsi="Times New Roman" w:cs="Times New Roman"/>
          <w:sz w:val="27"/>
          <w:szCs w:val="27"/>
        </w:rPr>
        <w:t>ЕДИНАЯ РОССИЯ</w:t>
      </w:r>
      <w:r w:rsidR="00C25AA6">
        <w:rPr>
          <w:rFonts w:ascii="Times New Roman" w:eastAsia="Calibri" w:hAnsi="Times New Roman" w:cs="Times New Roman"/>
          <w:sz w:val="27"/>
          <w:szCs w:val="27"/>
        </w:rPr>
        <w:t>»</w:t>
      </w:r>
      <w:r w:rsidRPr="007D05C2">
        <w:rPr>
          <w:rFonts w:ascii="Times New Roman" w:eastAsia="Calibri" w:hAnsi="Times New Roman" w:cs="Times New Roman"/>
          <w:sz w:val="27"/>
          <w:szCs w:val="27"/>
        </w:rPr>
        <w:t xml:space="preserve"> Д.А. Медведева </w:t>
      </w:r>
      <w:r w:rsidRPr="007D05C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является организация и проведение выездных приемов в муниципальных образованиях Камчатского края. За год состоялось девятнадцать выездных приемов, в ходе которых по различным вопросам обратилось 164 жителя Камчатского края. Депутаты Законодательного Собрания осуществляли приемы граждан в </w:t>
      </w:r>
      <w:r w:rsidRPr="007D05C2">
        <w:rPr>
          <w:rFonts w:ascii="Times New Roman" w:hAnsi="Times New Roman" w:cs="Times New Roman"/>
          <w:sz w:val="27"/>
          <w:szCs w:val="27"/>
        </w:rPr>
        <w:t>п. Усть-</w:t>
      </w:r>
      <w:r w:rsidRPr="007D05C2">
        <w:rPr>
          <w:rFonts w:ascii="Times New Roman" w:hAnsi="Times New Roman" w:cs="Times New Roman"/>
          <w:sz w:val="27"/>
          <w:szCs w:val="27"/>
        </w:rPr>
        <w:lastRenderedPageBreak/>
        <w:t xml:space="preserve">Камчатск, </w:t>
      </w:r>
      <w:r w:rsidRPr="007D05C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п. </w:t>
      </w:r>
      <w:proofErr w:type="spellStart"/>
      <w:r w:rsidRPr="007D05C2">
        <w:rPr>
          <w:rFonts w:ascii="Times New Roman" w:hAnsi="Times New Roman" w:cs="Times New Roman"/>
          <w:sz w:val="27"/>
          <w:szCs w:val="27"/>
          <w:shd w:val="clear" w:color="auto" w:fill="FFFFFF"/>
        </w:rPr>
        <w:t>Козыревск</w:t>
      </w:r>
      <w:proofErr w:type="spellEnd"/>
      <w:r w:rsidRPr="007D05C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и п. Ключи </w:t>
      </w:r>
      <w:proofErr w:type="spellStart"/>
      <w:r w:rsidRPr="007D05C2">
        <w:rPr>
          <w:rFonts w:ascii="Times New Roman" w:hAnsi="Times New Roman" w:cs="Times New Roman"/>
          <w:sz w:val="27"/>
          <w:szCs w:val="27"/>
          <w:shd w:val="clear" w:color="auto" w:fill="FFFFFF"/>
        </w:rPr>
        <w:t>Усть</w:t>
      </w:r>
      <w:proofErr w:type="spellEnd"/>
      <w:r w:rsidRPr="007D05C2">
        <w:rPr>
          <w:rFonts w:ascii="Times New Roman" w:hAnsi="Times New Roman" w:cs="Times New Roman"/>
          <w:sz w:val="27"/>
          <w:szCs w:val="27"/>
          <w:shd w:val="clear" w:color="auto" w:fill="FFFFFF"/>
        </w:rPr>
        <w:t>-Камчатского муниципального района</w:t>
      </w:r>
      <w:r w:rsidRPr="007D05C2">
        <w:rPr>
          <w:rFonts w:ascii="Times New Roman" w:hAnsi="Times New Roman" w:cs="Times New Roman"/>
          <w:sz w:val="27"/>
          <w:szCs w:val="27"/>
        </w:rPr>
        <w:t xml:space="preserve"> (</w:t>
      </w:r>
      <w:hyperlink r:id="rId11" w:history="1">
        <w:r w:rsidRPr="007D05C2">
          <w:rPr>
            <w:rFonts w:ascii="Times New Roman" w:hAnsi="Times New Roman" w:cs="Times New Roman"/>
            <w:sz w:val="27"/>
            <w:szCs w:val="27"/>
            <w:shd w:val="clear" w:color="auto" w:fill="FFFFFF"/>
          </w:rPr>
          <w:t>Копылов</w:t>
        </w:r>
      </w:hyperlink>
      <w:r w:rsidRPr="007D05C2">
        <w:rPr>
          <w:rFonts w:ascii="Times New Roman" w:hAnsi="Times New Roman" w:cs="Times New Roman"/>
          <w:sz w:val="27"/>
          <w:szCs w:val="27"/>
        </w:rPr>
        <w:t xml:space="preserve"> А.А.), </w:t>
      </w:r>
      <w:r w:rsidRPr="007D05C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 с. Каменское </w:t>
      </w:r>
      <w:proofErr w:type="spellStart"/>
      <w:r w:rsidRPr="007D05C2">
        <w:rPr>
          <w:rFonts w:ascii="Times New Roman" w:hAnsi="Times New Roman" w:cs="Times New Roman"/>
          <w:sz w:val="27"/>
          <w:szCs w:val="27"/>
          <w:shd w:val="clear" w:color="auto" w:fill="FFFFFF"/>
        </w:rPr>
        <w:t>Пенжинского</w:t>
      </w:r>
      <w:proofErr w:type="spellEnd"/>
      <w:r w:rsidRPr="007D05C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муниципального района (Романова Т.Ф.), в п. Новый и п. Пионерский </w:t>
      </w:r>
      <w:proofErr w:type="spellStart"/>
      <w:r w:rsidRPr="007D05C2">
        <w:rPr>
          <w:rFonts w:ascii="Times New Roman" w:hAnsi="Times New Roman" w:cs="Times New Roman"/>
          <w:sz w:val="27"/>
          <w:szCs w:val="27"/>
          <w:shd w:val="clear" w:color="auto" w:fill="FFFFFF"/>
        </w:rPr>
        <w:t>Елизовского</w:t>
      </w:r>
      <w:proofErr w:type="spellEnd"/>
      <w:r w:rsidRPr="007D05C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муниципального района (Ломакин Ю.В.). За помощью к депутатам по вопросам социального обеспечения, коммунально-бытового обслуживания, обеспечения жильем, здравоохранения, трудоустройства, землепользования, работы пассажирского транспорта, строительства и др. обратилось 63 человека. </w:t>
      </w:r>
    </w:p>
    <w:p w:rsidR="002E61DA" w:rsidRDefault="002E61DA" w:rsidP="002E61DA">
      <w:pPr>
        <w:ind w:firstLine="709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7D05C2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По информации депутатов </w:t>
      </w:r>
      <w:r w:rsidRPr="007D05C2">
        <w:rPr>
          <w:rFonts w:ascii="Times New Roman" w:hAnsi="Times New Roman" w:cs="Times New Roman"/>
          <w:color w:val="2D2D2D"/>
          <w:spacing w:val="2"/>
          <w:sz w:val="27"/>
          <w:szCs w:val="27"/>
          <w:shd w:val="clear" w:color="auto" w:fill="FFFFFF"/>
        </w:rPr>
        <w:t xml:space="preserve">Законодательного Собрания за 2019 год </w:t>
      </w:r>
      <w:r w:rsidRPr="007D05C2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общее количество рассмотренных обращений, поступивших в </w:t>
      </w:r>
      <w:r w:rsidRPr="007D05C2">
        <w:rPr>
          <w:rFonts w:ascii="Times New Roman" w:hAnsi="Times New Roman" w:cs="Times New Roman"/>
          <w:color w:val="2D2D2D"/>
          <w:spacing w:val="2"/>
          <w:sz w:val="27"/>
          <w:szCs w:val="27"/>
          <w:shd w:val="clear" w:color="auto" w:fill="FFFFFF"/>
        </w:rPr>
        <w:t xml:space="preserve">общественные приемные, расположенные на территориях избирательных округов, а также в личные приемные депутатов, </w:t>
      </w:r>
      <w:r w:rsidRPr="007D05C2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составляет 1610 обращений, из них </w:t>
      </w:r>
      <w:r w:rsidRPr="007D05C2">
        <w:rPr>
          <w:rFonts w:ascii="Times New Roman" w:hAnsi="Times New Roman" w:cs="Times New Roman"/>
          <w:color w:val="2D2D2D"/>
          <w:spacing w:val="2"/>
          <w:sz w:val="27"/>
          <w:szCs w:val="27"/>
          <w:shd w:val="clear" w:color="auto" w:fill="FFFFFF"/>
        </w:rPr>
        <w:t xml:space="preserve">80% поступили в письменной форме и 20% – в устной форме. </w:t>
      </w:r>
      <w:r w:rsidRPr="007D05C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 социальном составе корреспондентов представлены все основные социально-демографические группы населения. </w:t>
      </w:r>
    </w:p>
    <w:p w:rsidR="002E61DA" w:rsidRDefault="002E61DA" w:rsidP="002E61DA">
      <w:pPr>
        <w:ind w:firstLine="709"/>
        <w:rPr>
          <w:rFonts w:ascii="Times New Roman" w:hAnsi="Times New Roman" w:cs="Times New Roman"/>
          <w:sz w:val="27"/>
          <w:szCs w:val="27"/>
        </w:rPr>
      </w:pPr>
      <w:r w:rsidRPr="007D05C2">
        <w:rPr>
          <w:rFonts w:ascii="Times New Roman" w:hAnsi="Times New Roman" w:cs="Times New Roman"/>
          <w:sz w:val="27"/>
          <w:szCs w:val="27"/>
        </w:rPr>
        <w:t xml:space="preserve">Тематика обращений различна, в большинстве случаев избиратели обращались по вопросам социальной защиты (29%), жилищно-коммунального хозяйства (18%), предоставления жилья (10%), здравоохранения (5%), транспорта (4%), строительства (3%) и пр. </w:t>
      </w:r>
    </w:p>
    <w:p w:rsidR="002E61DA" w:rsidRDefault="002E61DA" w:rsidP="002E61DA">
      <w:pPr>
        <w:ind w:firstLine="709"/>
        <w:rPr>
          <w:rFonts w:ascii="Times New Roman" w:eastAsia="Arial Unicode MS" w:hAnsi="Times New Roman" w:cs="Times New Roman"/>
          <w:sz w:val="27"/>
          <w:szCs w:val="27"/>
        </w:rPr>
      </w:pPr>
      <w:r w:rsidRPr="007D05C2">
        <w:rPr>
          <w:rFonts w:ascii="Times New Roman" w:eastAsia="Arial Unicode MS" w:hAnsi="Times New Roman" w:cs="Times New Roman"/>
          <w:sz w:val="27"/>
          <w:szCs w:val="27"/>
        </w:rPr>
        <w:t>Письменные обращения, поступившие на личном приеме от граждан, зарегистрированы и рассмотрены в порядке, установленном федеральным законодательством. С согласия граждан некоторые ответы им были даны в устной форме</w:t>
      </w:r>
      <w:r>
        <w:rPr>
          <w:rFonts w:ascii="Times New Roman" w:eastAsia="Arial Unicode MS" w:hAnsi="Times New Roman" w:cs="Times New Roman"/>
          <w:sz w:val="27"/>
          <w:szCs w:val="27"/>
        </w:rPr>
        <w:t>.</w:t>
      </w:r>
    </w:p>
    <w:p w:rsidR="002E61DA" w:rsidRPr="007D05C2" w:rsidRDefault="002E61DA" w:rsidP="002E61DA">
      <w:pPr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D05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отчетном периоде подведены итоги конкурса </w:t>
      </w:r>
      <w:r w:rsidR="00C25AA6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Pr="007D05C2">
        <w:rPr>
          <w:rFonts w:ascii="Times New Roman" w:eastAsia="Times New Roman" w:hAnsi="Times New Roman" w:cs="Times New Roman"/>
          <w:sz w:val="27"/>
          <w:szCs w:val="27"/>
          <w:lang w:eastAsia="ru-RU"/>
        </w:rPr>
        <w:t>Лучшая общественная приемная депутата Законодательного Собрания Камчатского края – 2018</w:t>
      </w:r>
      <w:r w:rsidR="00C25AA6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7D05C2">
        <w:rPr>
          <w:rFonts w:ascii="Times New Roman" w:eastAsia="Times New Roman" w:hAnsi="Times New Roman" w:cs="Times New Roman"/>
          <w:sz w:val="27"/>
          <w:szCs w:val="27"/>
          <w:lang w:eastAsia="ru-RU"/>
        </w:rPr>
        <w:t>. В соответствии с решением Президиума Законодательного Собрания Камчатского края</w:t>
      </w:r>
      <w:r w:rsidR="007A70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bookmarkStart w:id="0" w:name="_GoBack"/>
      <w:bookmarkEnd w:id="0"/>
      <w:r w:rsidRPr="007D05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7310 от 22.03.2019 победителями конкурса определены: общественная приемная депутатов Кирносенко Анатолия Владимировича и Агеева Владимира Александровича (в номинации </w:t>
      </w:r>
      <w:r w:rsidR="00C25AA6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Pr="007D05C2">
        <w:rPr>
          <w:rFonts w:ascii="Times New Roman" w:eastAsia="Times New Roman" w:hAnsi="Times New Roman" w:cs="Times New Roman"/>
          <w:sz w:val="27"/>
          <w:szCs w:val="27"/>
          <w:lang w:eastAsia="ru-RU"/>
        </w:rPr>
        <w:t>Лучшая организация работы по рассмотрению обращений граждан, исполнению наказов избирателей</w:t>
      </w:r>
      <w:r w:rsidR="00C25AA6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7D05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); общественная приемная депутата </w:t>
      </w:r>
      <w:proofErr w:type="spellStart"/>
      <w:r w:rsidRPr="007D05C2">
        <w:rPr>
          <w:rFonts w:ascii="Times New Roman" w:eastAsia="Times New Roman" w:hAnsi="Times New Roman" w:cs="Times New Roman"/>
          <w:sz w:val="27"/>
          <w:szCs w:val="27"/>
          <w:lang w:eastAsia="ru-RU"/>
        </w:rPr>
        <w:t>Шамояна</w:t>
      </w:r>
      <w:proofErr w:type="spellEnd"/>
      <w:r w:rsidRPr="007D05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Рашида </w:t>
      </w:r>
      <w:proofErr w:type="spellStart"/>
      <w:r w:rsidRPr="007D05C2">
        <w:rPr>
          <w:rFonts w:ascii="Times New Roman" w:eastAsia="Times New Roman" w:hAnsi="Times New Roman" w:cs="Times New Roman"/>
          <w:sz w:val="27"/>
          <w:szCs w:val="27"/>
          <w:lang w:eastAsia="ru-RU"/>
        </w:rPr>
        <w:t>Фероевича</w:t>
      </w:r>
      <w:proofErr w:type="spellEnd"/>
      <w:r w:rsidRPr="007D05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(в номинации </w:t>
      </w:r>
      <w:r w:rsidR="00C25AA6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Pr="007D05C2">
        <w:rPr>
          <w:rFonts w:ascii="Times New Roman" w:eastAsia="Times New Roman" w:hAnsi="Times New Roman" w:cs="Times New Roman"/>
          <w:sz w:val="27"/>
          <w:szCs w:val="27"/>
          <w:lang w:eastAsia="ru-RU"/>
        </w:rPr>
        <w:t>Лучшая организация работы с населением, взаимодействия с институтами гражданского общества, творческий подход к деятельности общественной приемной</w:t>
      </w:r>
      <w:r w:rsidR="00C25AA6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7D05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). Участники конкурса – общественная приемная депутата </w:t>
      </w:r>
      <w:proofErr w:type="spellStart"/>
      <w:r w:rsidRPr="007D05C2">
        <w:rPr>
          <w:rFonts w:ascii="Times New Roman" w:eastAsia="Times New Roman" w:hAnsi="Times New Roman" w:cs="Times New Roman"/>
          <w:sz w:val="27"/>
          <w:szCs w:val="27"/>
          <w:lang w:eastAsia="ru-RU"/>
        </w:rPr>
        <w:t>Стукова</w:t>
      </w:r>
      <w:proofErr w:type="spellEnd"/>
      <w:r w:rsidRPr="007D05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Андрея Юрьевича и общественная приемная депутата Тимофеева Дмитрия Романовича поощрены Благодарностью председателя Законодательного Собрания Камчатского края. </w:t>
      </w:r>
    </w:p>
    <w:p w:rsidR="002E61DA" w:rsidRDefault="002E61DA" w:rsidP="002E61DA">
      <w:pPr>
        <w:tabs>
          <w:tab w:val="left" w:pos="567"/>
        </w:tabs>
        <w:autoSpaceDE/>
        <w:autoSpaceDN/>
        <w:adjustRightInd/>
        <w:ind w:firstLine="708"/>
        <w:rPr>
          <w:rFonts w:ascii="Times New Roman" w:hAnsi="Times New Roman" w:cs="Times New Roman"/>
          <w:sz w:val="27"/>
          <w:szCs w:val="27"/>
        </w:rPr>
      </w:pPr>
    </w:p>
    <w:p w:rsidR="002E61DA" w:rsidRDefault="002E61DA" w:rsidP="002E61DA">
      <w:pPr>
        <w:tabs>
          <w:tab w:val="left" w:pos="567"/>
        </w:tabs>
        <w:autoSpaceDE/>
        <w:autoSpaceDN/>
        <w:adjustRightInd/>
        <w:ind w:firstLine="708"/>
        <w:rPr>
          <w:rFonts w:ascii="Times New Roman" w:hAnsi="Times New Roman" w:cs="Times New Roman"/>
          <w:sz w:val="27"/>
          <w:szCs w:val="27"/>
        </w:rPr>
      </w:pPr>
    </w:p>
    <w:p w:rsidR="002E61DA" w:rsidRDefault="002E61DA" w:rsidP="002E61DA">
      <w:pPr>
        <w:tabs>
          <w:tab w:val="left" w:pos="567"/>
        </w:tabs>
        <w:autoSpaceDE/>
        <w:autoSpaceDN/>
        <w:adjustRightInd/>
        <w:ind w:firstLine="708"/>
        <w:rPr>
          <w:rFonts w:ascii="Times New Roman" w:hAnsi="Times New Roman" w:cs="Times New Roman"/>
          <w:sz w:val="27"/>
          <w:szCs w:val="27"/>
        </w:rPr>
      </w:pPr>
    </w:p>
    <w:p w:rsidR="002E61DA" w:rsidRPr="007D05C2" w:rsidRDefault="002E61DA" w:rsidP="002E61DA">
      <w:pPr>
        <w:tabs>
          <w:tab w:val="left" w:pos="567"/>
        </w:tabs>
        <w:autoSpaceDE/>
        <w:autoSpaceDN/>
        <w:adjustRightInd/>
        <w:ind w:firstLine="708"/>
        <w:rPr>
          <w:rFonts w:ascii="Times New Roman" w:hAnsi="Times New Roman" w:cs="Times New Roman"/>
          <w:sz w:val="27"/>
          <w:szCs w:val="27"/>
        </w:rPr>
      </w:pPr>
    </w:p>
    <w:p w:rsidR="005D3EDD" w:rsidRDefault="005D3EDD"/>
    <w:sectPr w:rsidR="005D3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DA"/>
    <w:rsid w:val="002E61DA"/>
    <w:rsid w:val="005D3EDD"/>
    <w:rsid w:val="007A7057"/>
    <w:rsid w:val="00C2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6A7BC-8BBB-4E7A-8CCC-99E8EADC4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1D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hyperlink" Target="http://www.sobranie.info/getdep.php?UID=16558&amp;iframe=true&amp;width=550&amp;height=330" TargetMode="External"/><Relationship Id="rId5" Type="http://schemas.openxmlformats.org/officeDocument/2006/relationships/chart" Target="charts/chart1.xml"/><Relationship Id="rId10" Type="http://schemas.openxmlformats.org/officeDocument/2006/relationships/chart" Target="charts/chart4.xml"/><Relationship Id="rId4" Type="http://schemas.openxmlformats.org/officeDocument/2006/relationships/hyperlink" Target="mailto:og@zaksobr.kamchatka.ru" TargetMode="Externa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50" b="0" i="0" u="none" strike="noStrike" kern="1200" cap="none" spc="0" baseline="0">
                <a:solidFill>
                  <a:srgbClr val="002060"/>
                </a:solidFill>
                <a:effectLst>
                  <a:outerShdw blurRad="50800" dist="38100" algn="l" rotWithShape="0">
                    <a:srgbClr val="660033">
                      <a:alpha val="40000"/>
                    </a:srgb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ru-RU" sz="1050" b="1" cap="none">
                <a:solidFill>
                  <a:srgbClr val="002060"/>
                </a:solidFill>
                <a:effectLst>
                  <a:outerShdw blurRad="50800" dist="38100" algn="l" rotWithShape="0">
                    <a:srgbClr val="660033">
                      <a:alpha val="40000"/>
                    </a:srgbClr>
                  </a:outerShdw>
                </a:effectLst>
                <a:latin typeface="Times New Roman" panose="02020603050405020304" pitchFamily="18" charset="0"/>
                <a:cs typeface="Times New Roman" panose="02020603050405020304" pitchFamily="18" charset="0"/>
              </a:rPr>
              <a:t>Динамика поступления обращений граждан </a:t>
            </a:r>
          </a:p>
          <a:p>
            <a:pPr>
              <a:defRPr sz="1050" b="0" i="0" u="none" strike="noStrike" kern="1200" cap="none" spc="0" baseline="0">
                <a:solidFill>
                  <a:srgbClr val="002060"/>
                </a:solidFill>
                <a:effectLst>
                  <a:outerShdw blurRad="50800" dist="38100" algn="l" rotWithShape="0">
                    <a:srgbClr val="660033">
                      <a:alpha val="40000"/>
                    </a:srgb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ru-RU" sz="1050" b="1" cap="none">
                <a:solidFill>
                  <a:srgbClr val="002060"/>
                </a:solidFill>
                <a:effectLst>
                  <a:outerShdw blurRad="50800" dist="38100" algn="l" rotWithShape="0">
                    <a:srgbClr val="660033">
                      <a:alpha val="40000"/>
                    </a:srgbClr>
                  </a:outerShdw>
                </a:effectLst>
                <a:latin typeface="Times New Roman" panose="02020603050405020304" pitchFamily="18" charset="0"/>
                <a:cs typeface="Times New Roman" panose="02020603050405020304" pitchFamily="18" charset="0"/>
              </a:rPr>
              <a:t>с начала третьего созыва  </a:t>
            </a:r>
          </a:p>
        </c:rich>
      </c:tx>
      <c:layout>
        <c:manualLayout>
          <c:xMode val="edge"/>
          <c:yMode val="edge"/>
          <c:x val="0.37378054805482169"/>
          <c:y val="7.260654177706459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1.1473450101806601E-2"/>
          <c:y val="3.3379694019471488E-2"/>
          <c:w val="0.99003866554626418"/>
          <c:h val="0.84034546777624364"/>
        </c:manualLayout>
      </c:layout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 год</c:v>
                </c:pt>
              </c:strCache>
            </c:strRef>
          </c:tx>
          <c:spPr>
            <a:ln w="25400" cap="rnd" cmpd="sng" algn="ctr">
              <a:noFill/>
              <a:round/>
            </a:ln>
            <a:effectLst/>
          </c:spPr>
          <c:marker>
            <c:symbol val="circle"/>
            <c:size val="17"/>
            <c:spPr>
              <a:solidFill>
                <a:schemeClr val="accent5">
                  <a:lumMod val="20000"/>
                  <a:lumOff val="80000"/>
                </a:schemeClr>
              </a:solidFill>
              <a:ln>
                <a:noFill/>
              </a:ln>
              <a:effectLst/>
            </c:spPr>
          </c:marker>
          <c:dPt>
            <c:idx val="0"/>
            <c:marker>
              <c:spPr>
                <a:noFill/>
                <a:ln>
                  <a:noFill/>
                </a:ln>
                <a:effectLst/>
              </c:spPr>
            </c:marker>
            <c:bubble3D val="0"/>
          </c:dPt>
          <c:dPt>
            <c:idx val="1"/>
            <c:marker>
              <c:spPr>
                <a:noFill/>
                <a:ln>
                  <a:noFill/>
                </a:ln>
                <a:effectLst/>
              </c:spPr>
            </c:marker>
            <c:bubble3D val="0"/>
          </c:dPt>
          <c:dPt>
            <c:idx val="2"/>
            <c:marker>
              <c:spPr>
                <a:noFill/>
                <a:ln>
                  <a:noFill/>
                </a:ln>
                <a:effectLst/>
              </c:spPr>
            </c:marker>
            <c:bubble3D val="0"/>
          </c:dPt>
          <c:dPt>
            <c:idx val="3"/>
            <c:marker>
              <c:spPr>
                <a:noFill/>
                <a:ln>
                  <a:noFill/>
                </a:ln>
                <a:effectLst/>
              </c:spPr>
            </c:marker>
            <c:bubble3D val="0"/>
          </c:dPt>
          <c:dPt>
            <c:idx val="4"/>
            <c:marker>
              <c:spPr>
                <a:noFill/>
                <a:ln>
                  <a:noFill/>
                </a:ln>
                <a:effectLst/>
              </c:spPr>
            </c:marker>
            <c:bubble3D val="0"/>
          </c:dPt>
          <c:dPt>
            <c:idx val="5"/>
            <c:marker>
              <c:spPr>
                <a:noFill/>
                <a:ln>
                  <a:noFill/>
                </a:ln>
                <a:effectLst/>
              </c:spPr>
            </c:marker>
            <c:bubble3D val="0"/>
          </c:dPt>
          <c:dPt>
            <c:idx val="6"/>
            <c:marker>
              <c:spPr>
                <a:noFill/>
                <a:ln>
                  <a:noFill/>
                </a:ln>
                <a:effectLst/>
              </c:spPr>
            </c:marker>
            <c:bubble3D val="0"/>
          </c:dPt>
          <c:dPt>
            <c:idx val="7"/>
            <c:marker>
              <c:spPr>
                <a:noFill/>
                <a:ln>
                  <a:noFill/>
                </a:ln>
                <a:effectLst/>
              </c:spPr>
            </c:marker>
            <c:bubble3D val="0"/>
          </c:dPt>
          <c:dPt>
            <c:idx val="8"/>
            <c:marker>
              <c:spPr>
                <a:noFill/>
                <a:ln>
                  <a:noFill/>
                </a:ln>
                <a:effectLst/>
              </c:spPr>
            </c:marker>
            <c:bubble3D val="0"/>
          </c:dPt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rgbClr val="00206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9">
                  <c:v>30</c:v>
                </c:pt>
                <c:pt idx="10">
                  <c:v>92</c:v>
                </c:pt>
                <c:pt idx="11">
                  <c:v>77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 год</c:v>
                </c:pt>
              </c:strCache>
            </c:strRef>
          </c:tx>
          <c:spPr>
            <a:ln w="12700" cap="rnd" cmpd="sng" algn="ctr">
              <a:solidFill>
                <a:schemeClr val="accent4">
                  <a:lumMod val="50000"/>
                </a:schemeClr>
              </a:solidFill>
              <a:prstDash val="sysDash"/>
              <a:round/>
            </a:ln>
            <a:effectLst/>
          </c:spPr>
          <c:marker>
            <c:symbol val="circle"/>
            <c:size val="17"/>
            <c:spPr>
              <a:solidFill>
                <a:schemeClr val="accent4">
                  <a:lumMod val="75000"/>
                </a:schemeClr>
              </a:solidFill>
              <a:ln>
                <a:noFill/>
              </a:ln>
              <a:effectLst/>
            </c:spPr>
          </c:marker>
          <c:dLbls>
            <c:dLbl>
              <c:idx val="4"/>
              <c:layout>
                <c:manualLayout>
                  <c:x val="-4.2176118131294071E-2"/>
                  <c:y val="-7.8807389156717034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rgbClr val="FFFF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60</c:v>
                </c:pt>
                <c:pt idx="1">
                  <c:v>80</c:v>
                </c:pt>
                <c:pt idx="2">
                  <c:v>62</c:v>
                </c:pt>
                <c:pt idx="3">
                  <c:v>60</c:v>
                </c:pt>
                <c:pt idx="4">
                  <c:v>60</c:v>
                </c:pt>
                <c:pt idx="5">
                  <c:v>57</c:v>
                </c:pt>
                <c:pt idx="6">
                  <c:v>67</c:v>
                </c:pt>
                <c:pt idx="7">
                  <c:v>79</c:v>
                </c:pt>
                <c:pt idx="8">
                  <c:v>40</c:v>
                </c:pt>
                <c:pt idx="9">
                  <c:v>40</c:v>
                </c:pt>
                <c:pt idx="10">
                  <c:v>51</c:v>
                </c:pt>
                <c:pt idx="11">
                  <c:v>49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 год</c:v>
                </c:pt>
              </c:strCache>
            </c:strRef>
          </c:tx>
          <c:spPr>
            <a:ln w="12700" cap="rnd" cmpd="sng" algn="ctr">
              <a:solidFill>
                <a:schemeClr val="accent6">
                  <a:lumMod val="50000"/>
                </a:schemeClr>
              </a:solidFill>
              <a:prstDash val="sysDash"/>
              <a:round/>
            </a:ln>
            <a:effectLst/>
          </c:spPr>
          <c:marker>
            <c:symbol val="diamond"/>
            <c:size val="17"/>
            <c:spPr>
              <a:solidFill>
                <a:schemeClr val="accent6">
                  <a:lumMod val="40000"/>
                  <a:lumOff val="60000"/>
                </a:schemeClr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accent5">
                        <a:lumMod val="7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Лист1!$D$2:$D$13</c:f>
              <c:numCache>
                <c:formatCode>General</c:formatCode>
                <c:ptCount val="12"/>
                <c:pt idx="0">
                  <c:v>46</c:v>
                </c:pt>
                <c:pt idx="1">
                  <c:v>53</c:v>
                </c:pt>
                <c:pt idx="2">
                  <c:v>32</c:v>
                </c:pt>
                <c:pt idx="3">
                  <c:v>34</c:v>
                </c:pt>
                <c:pt idx="4">
                  <c:v>23</c:v>
                </c:pt>
                <c:pt idx="5">
                  <c:v>101</c:v>
                </c:pt>
                <c:pt idx="6">
                  <c:v>37</c:v>
                </c:pt>
                <c:pt idx="7">
                  <c:v>30</c:v>
                </c:pt>
                <c:pt idx="8">
                  <c:v>34</c:v>
                </c:pt>
                <c:pt idx="9">
                  <c:v>38</c:v>
                </c:pt>
                <c:pt idx="10">
                  <c:v>36</c:v>
                </c:pt>
                <c:pt idx="11">
                  <c:v>80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2019 год</c:v>
                </c:pt>
              </c:strCache>
            </c:strRef>
          </c:tx>
          <c:spPr>
            <a:ln w="12700" cap="rnd" cmpd="sng" algn="ctr">
              <a:solidFill>
                <a:srgbClr val="D63908"/>
              </a:solidFill>
              <a:prstDash val="sysDash"/>
              <a:round/>
            </a:ln>
            <a:effectLst/>
          </c:spPr>
          <c:marker>
            <c:symbol val="circle"/>
            <c:size val="17"/>
            <c:spPr>
              <a:solidFill>
                <a:srgbClr val="FFFF00"/>
              </a:solidFill>
              <a:ln>
                <a:noFill/>
              </a:ln>
              <a:effectLst/>
            </c:spPr>
          </c:marker>
          <c:dLbls>
            <c:dLbl>
              <c:idx val="0"/>
              <c:layout>
                <c:manualLayout>
                  <c:x val="-4.3328468430234537E-2"/>
                  <c:y val="-2.26331305743180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4.0263093527627088E-2"/>
                  <c:y val="-6.2379131287644794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rgbClr val="C00000"/>
                    </a:solidFill>
                    <a:effectLst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</a:effectLst>
                    <a:latin typeface="Sylfaen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Лист1!$E$2:$E$13</c:f>
              <c:numCache>
                <c:formatCode>General</c:formatCode>
                <c:ptCount val="12"/>
                <c:pt idx="0">
                  <c:v>18</c:v>
                </c:pt>
                <c:pt idx="1">
                  <c:v>53</c:v>
                </c:pt>
                <c:pt idx="2">
                  <c:v>35</c:v>
                </c:pt>
                <c:pt idx="3">
                  <c:v>57</c:v>
                </c:pt>
                <c:pt idx="4">
                  <c:v>36</c:v>
                </c:pt>
                <c:pt idx="5">
                  <c:v>37</c:v>
                </c:pt>
                <c:pt idx="6">
                  <c:v>17</c:v>
                </c:pt>
                <c:pt idx="7">
                  <c:v>37</c:v>
                </c:pt>
                <c:pt idx="8">
                  <c:v>36</c:v>
                </c:pt>
                <c:pt idx="9">
                  <c:v>40</c:v>
                </c:pt>
                <c:pt idx="10">
                  <c:v>28</c:v>
                </c:pt>
                <c:pt idx="11">
                  <c:v>33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30494912"/>
        <c:axId val="430493824"/>
      </c:lineChart>
      <c:catAx>
        <c:axId val="4304949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rgbClr val="1F0D2D"/>
            </a:solidFill>
            <a:prstDash val="sysDash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rgbClr val="002060"/>
                </a:solidFill>
                <a:effectLst>
                  <a:outerShdw blurRad="50800" dist="38100" algn="l" rotWithShape="0">
                    <a:srgbClr val="FF0000">
                      <a:alpha val="40000"/>
                    </a:srgbClr>
                  </a:outerShdw>
                </a:effectLst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30493824"/>
        <c:crosses val="autoZero"/>
        <c:auto val="1"/>
        <c:lblAlgn val="ctr"/>
        <c:lblOffset val="100"/>
        <c:noMultiLvlLbl val="0"/>
      </c:catAx>
      <c:valAx>
        <c:axId val="43049382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304949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accent1">
                    <a:lumMod val="75000"/>
                  </a:schemeClr>
                </a:solidFill>
                <a:latin typeface="Sylfaen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accent4">
                    <a:lumMod val="50000"/>
                  </a:schemeClr>
                </a:solidFill>
                <a:latin typeface="Sylfaen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accent6">
                    <a:lumMod val="50000"/>
                  </a:schemeClr>
                </a:solidFill>
                <a:latin typeface="Sylfaen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3"/>
        <c:txPr>
          <a:bodyPr rot="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rgbClr val="C00000"/>
                </a:solidFill>
                <a:latin typeface="Sylfaen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6.1710678312114145E-3"/>
          <c:y val="6.7991420427285301E-2"/>
          <c:w val="0.34809288779244096"/>
          <c:h val="0.1810058649750649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Sylfaen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vert="horz"/>
          <a:lstStyle/>
          <a:p>
            <a:pPr>
              <a:defRPr sz="900">
                <a:solidFill>
                  <a:schemeClr val="tx1"/>
                </a:solidFill>
                <a:latin typeface="Andalus" pitchFamily="18" charset="-78"/>
                <a:cs typeface="Andalus" pitchFamily="18" charset="-78"/>
              </a:defRPr>
            </a:pPr>
            <a:r>
              <a:rPr lang="ru-RU" sz="900" b="1">
                <a:solidFill>
                  <a:schemeClr val="tx1"/>
                </a:solidFill>
                <a:latin typeface="+mj-lt"/>
                <a:cs typeface="Andalus" pitchFamily="18" charset="-78"/>
              </a:rPr>
              <a:t>Классификация обращений граждан</a:t>
            </a:r>
            <a:r>
              <a:rPr lang="ru-RU" sz="900" b="1" baseline="0">
                <a:solidFill>
                  <a:schemeClr val="tx1"/>
                </a:solidFill>
                <a:latin typeface="+mj-lt"/>
                <a:cs typeface="Andalus" pitchFamily="18" charset="-78"/>
              </a:rPr>
              <a:t> </a:t>
            </a:r>
          </a:p>
          <a:p>
            <a:pPr>
              <a:defRPr sz="900">
                <a:solidFill>
                  <a:schemeClr val="tx1"/>
                </a:solidFill>
                <a:latin typeface="Andalus" pitchFamily="18" charset="-78"/>
                <a:cs typeface="Andalus" pitchFamily="18" charset="-78"/>
              </a:defRPr>
            </a:pPr>
            <a:r>
              <a:rPr lang="ru-RU" sz="900" b="1">
                <a:solidFill>
                  <a:schemeClr val="tx1"/>
                </a:solidFill>
                <a:latin typeface="+mj-lt"/>
                <a:cs typeface="Andalus" pitchFamily="18" charset="-78"/>
              </a:rPr>
              <a:t>по географической</a:t>
            </a:r>
            <a:r>
              <a:rPr lang="ru-RU" sz="900" b="1" baseline="0">
                <a:solidFill>
                  <a:schemeClr val="tx1"/>
                </a:solidFill>
                <a:latin typeface="+mj-lt"/>
                <a:cs typeface="Andalus" pitchFamily="18" charset="-78"/>
              </a:rPr>
              <a:t> </a:t>
            </a:r>
            <a:r>
              <a:rPr lang="ru-RU" sz="900" b="1">
                <a:solidFill>
                  <a:schemeClr val="tx1"/>
                </a:solidFill>
                <a:latin typeface="+mj-lt"/>
                <a:cs typeface="Andalus" pitchFamily="18" charset="-78"/>
              </a:rPr>
              <a:t>принадлежности:</a:t>
            </a:r>
          </a:p>
        </c:rich>
      </c:tx>
      <c:layout>
        <c:manualLayout>
          <c:xMode val="edge"/>
          <c:yMode val="edge"/>
          <c:x val="4.9611893337169321E-3"/>
          <c:y val="7.7015667015165497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44583528842278791"/>
          <c:y val="5.8319288162069445E-2"/>
          <c:w val="0.50848194867333618"/>
          <c:h val="0.83222591362126241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cene3d>
              <a:camera prst="orthographicFront"/>
              <a:lightRig rig="morning" dir="t"/>
            </a:scene3d>
            <a:sp3d prstMaterial="metal">
              <a:bevelT w="63500" h="63500" prst="coolSlant"/>
              <a:contourClr>
                <a:srgbClr val="000000"/>
              </a:contourClr>
            </a:sp3d>
          </c:spPr>
          <c:explosion val="3"/>
          <c:dPt>
            <c:idx val="0"/>
            <c:bubble3D val="0"/>
            <c:spPr>
              <a:gradFill>
                <a:gsLst>
                  <a:gs pos="82000">
                    <a:srgbClr val="FBC1F8"/>
                  </a:gs>
                  <a:gs pos="55000">
                    <a:srgbClr val="FFFF8B"/>
                  </a:gs>
                  <a:gs pos="31000">
                    <a:srgbClr val="57F7FB"/>
                  </a:gs>
                </a:gsLst>
                <a:lin ang="5400000" scaled="0"/>
              </a:gradFill>
              <a:ln>
                <a:noFill/>
              </a:ln>
              <a:scene3d>
                <a:camera prst="orthographicFront"/>
                <a:lightRig rig="morning" dir="t"/>
              </a:scene3d>
              <a:sp3d prstMaterial="metal">
                <a:bevelT w="63500" h="63500" prst="divot"/>
                <a:bevelB prst="angle"/>
                <a:contourClr>
                  <a:srgbClr val="000000"/>
                </a:contourClr>
              </a:sp3d>
            </c:spPr>
          </c:dPt>
          <c:dPt>
            <c:idx val="1"/>
            <c:bubble3D val="0"/>
            <c:spPr>
              <a:gradFill>
                <a:gsLst>
                  <a:gs pos="19000">
                    <a:srgbClr val="FCB7B2"/>
                  </a:gs>
                  <a:gs pos="43000">
                    <a:schemeClr val="accent2"/>
                  </a:gs>
                  <a:gs pos="100000">
                    <a:srgbClr val="876449"/>
                  </a:gs>
                </a:gsLst>
                <a:lin ang="5400000" scaled="1"/>
              </a:gradFill>
              <a:ln>
                <a:noFill/>
              </a:ln>
              <a:scene3d>
                <a:camera prst="orthographicFront"/>
                <a:lightRig rig="morning" dir="t"/>
              </a:scene3d>
              <a:sp3d prstMaterial="metal">
                <a:bevelT w="63500" h="63500" prst="convex"/>
                <a:contourClr>
                  <a:srgbClr val="000000"/>
                </a:contourClr>
              </a:sp3d>
            </c:spPr>
          </c:dPt>
          <c:dPt>
            <c:idx val="2"/>
            <c:bubble3D val="0"/>
            <c:spPr>
              <a:solidFill>
                <a:srgbClr val="03C0FB"/>
              </a:solidFill>
              <a:ln>
                <a:solidFill>
                  <a:srgbClr val="03C0FB"/>
                </a:solidFill>
              </a:ln>
              <a:scene3d>
                <a:camera prst="orthographicFront"/>
                <a:lightRig rig="morning" dir="t"/>
              </a:scene3d>
              <a:sp3d prstMaterial="metal">
                <a:bevelT w="63500" h="63500" prst="convex"/>
                <a:contourClr>
                  <a:srgbClr val="000000"/>
                </a:contourClr>
              </a:sp3d>
            </c:spPr>
          </c:dPt>
          <c:dPt>
            <c:idx val="3"/>
            <c:bubble3D val="0"/>
            <c:explosion val="12"/>
            <c:spPr>
              <a:solidFill>
                <a:srgbClr val="F03CF0"/>
              </a:solidFill>
              <a:ln>
                <a:solidFill>
                  <a:srgbClr val="F03CF0"/>
                </a:solidFill>
              </a:ln>
              <a:scene3d>
                <a:camera prst="orthographicFront"/>
                <a:lightRig rig="morning" dir="t"/>
              </a:scene3d>
              <a:sp3d prstMaterial="metal">
                <a:bevelT w="63500" h="63500" prst="coolSlant"/>
                <a:contourClr>
                  <a:srgbClr val="000000"/>
                </a:contourClr>
              </a:sp3d>
            </c:spPr>
          </c:dPt>
          <c:dPt>
            <c:idx val="4"/>
            <c:bubble3D val="0"/>
            <c:spPr>
              <a:scene3d>
                <a:camera prst="orthographicFront"/>
                <a:lightRig rig="morning" dir="t"/>
              </a:scene3d>
              <a:sp3d prstMaterial="metal">
                <a:bevelT w="63500" h="63500" prst="convex"/>
                <a:contourClr>
                  <a:srgbClr val="000000"/>
                </a:contourClr>
              </a:sp3d>
            </c:spPr>
          </c:dPt>
          <c:dPt>
            <c:idx val="5"/>
            <c:bubble3D val="0"/>
          </c:dPt>
          <c:dPt>
            <c:idx val="6"/>
            <c:bubble3D val="0"/>
          </c:dPt>
          <c:dPt>
            <c:idx val="7"/>
            <c:bubble3D val="0"/>
            <c:spPr>
              <a:solidFill>
                <a:srgbClr val="FDC3BF"/>
              </a:solidFill>
              <a:ln>
                <a:solidFill>
                  <a:srgbClr val="FDC3BF"/>
                </a:solidFill>
              </a:ln>
              <a:scene3d>
                <a:camera prst="orthographicFront"/>
                <a:lightRig rig="morning" dir="t"/>
              </a:scene3d>
              <a:sp3d prstMaterial="metal">
                <a:bevelT w="63500" h="63500" prst="convex"/>
                <a:contourClr>
                  <a:srgbClr val="000000"/>
                </a:contourClr>
              </a:sp3d>
            </c:spPr>
          </c:dPt>
          <c:dPt>
            <c:idx val="8"/>
            <c:bubble3D val="0"/>
            <c:explosion val="13"/>
          </c:dPt>
          <c:dPt>
            <c:idx val="9"/>
            <c:bubble3D val="0"/>
            <c:spPr>
              <a:solidFill>
                <a:srgbClr val="FF0000"/>
              </a:solidFill>
              <a:ln>
                <a:solidFill>
                  <a:srgbClr val="FF0000"/>
                </a:solidFill>
              </a:ln>
              <a:scene3d>
                <a:camera prst="orthographicFront"/>
                <a:lightRig rig="morning" dir="t"/>
              </a:scene3d>
              <a:sp3d prstMaterial="metal">
                <a:bevelT w="63500" h="63500" prst="convex"/>
                <a:contourClr>
                  <a:srgbClr val="000000"/>
                </a:contourClr>
              </a:sp3d>
            </c:spPr>
          </c:dPt>
          <c:dPt>
            <c:idx val="10"/>
            <c:bubble3D val="0"/>
            <c:explosion val="14"/>
          </c:dPt>
          <c:dPt>
            <c:idx val="11"/>
            <c:bubble3D val="0"/>
            <c:spPr>
              <a:ln>
                <a:solidFill>
                  <a:schemeClr val="accent6"/>
                </a:solidFill>
              </a:ln>
              <a:scene3d>
                <a:camera prst="orthographicFront"/>
                <a:lightRig rig="morning" dir="t"/>
              </a:scene3d>
              <a:sp3d prstMaterial="metal">
                <a:bevelT w="63500" h="63500" prst="convex"/>
                <a:contourClr>
                  <a:srgbClr val="000000"/>
                </a:contourClr>
              </a:sp3d>
            </c:spPr>
          </c:dPt>
          <c:dPt>
            <c:idx val="12"/>
            <c:bubble3D val="0"/>
            <c:spPr>
              <a:solidFill>
                <a:srgbClr val="FF0000"/>
              </a:solidFill>
              <a:ln>
                <a:solidFill>
                  <a:srgbClr val="FF0000"/>
                </a:solidFill>
              </a:ln>
              <a:scene3d>
                <a:camera prst="orthographicFront"/>
                <a:lightRig rig="morning" dir="t"/>
              </a:scene3d>
              <a:sp3d prstMaterial="metal">
                <a:bevelT w="63500" h="63500" prst="coolSlant"/>
                <a:contourClr>
                  <a:srgbClr val="000000"/>
                </a:contourClr>
              </a:sp3d>
            </c:spPr>
          </c:dPt>
          <c:dPt>
            <c:idx val="13"/>
            <c:bubble3D val="0"/>
            <c:explosion val="18"/>
            <c:spPr>
              <a:solidFill>
                <a:srgbClr val="7030A0"/>
              </a:solidFill>
              <a:ln>
                <a:noFill/>
              </a:ln>
              <a:effectLst/>
              <a:scene3d>
                <a:camera prst="orthographicFront"/>
                <a:lightRig rig="morning" dir="t"/>
              </a:scene3d>
              <a:sp3d prstMaterial="metal">
                <a:bevelT w="63500" h="63500" prst="coolSlant"/>
                <a:contourClr>
                  <a:srgbClr val="000000"/>
                </a:contourClr>
              </a:sp3d>
            </c:spPr>
          </c:dPt>
          <c:dPt>
            <c:idx val="14"/>
            <c:bubble3D val="0"/>
            <c:explosion val="10"/>
            <c:spPr>
              <a:solidFill>
                <a:srgbClr val="D63908"/>
              </a:solidFill>
              <a:ln>
                <a:noFill/>
              </a:ln>
              <a:scene3d>
                <a:camera prst="orthographicFront"/>
                <a:lightRig rig="morning" dir="t"/>
              </a:scene3d>
              <a:sp3d prstMaterial="metal">
                <a:bevelT w="63500" h="63500" prst="coolSlant"/>
                <a:contourClr>
                  <a:srgbClr val="000000"/>
                </a:contourClr>
              </a:sp3d>
            </c:spPr>
          </c:dPt>
          <c:dPt>
            <c:idx val="15"/>
            <c:bubble3D val="0"/>
            <c:spPr>
              <a:solidFill>
                <a:srgbClr val="FBF622"/>
              </a:solidFill>
              <a:ln>
                <a:noFill/>
              </a:ln>
              <a:scene3d>
                <a:camera prst="orthographicFront"/>
                <a:lightRig rig="morning" dir="t"/>
              </a:scene3d>
              <a:sp3d prstMaterial="metal">
                <a:bevelT w="63500" h="63500" prst="convex"/>
                <a:contourClr>
                  <a:srgbClr val="000000"/>
                </a:contourClr>
              </a:sp3d>
            </c:spPr>
          </c:dPt>
          <c:cat>
            <c:strRef>
              <c:f>Лист1!$A$2:$A$17</c:f>
              <c:strCache>
                <c:ptCount val="16"/>
                <c:pt idx="0">
                  <c:v>г. П-Камчатский - 267 (65,5%) </c:v>
                </c:pt>
                <c:pt idx="1">
                  <c:v>г. Вилючинск - 37 (8,7%)</c:v>
                </c:pt>
                <c:pt idx="2">
                  <c:v>г.  Елизово - 18 (4,2%)</c:v>
                </c:pt>
                <c:pt idx="3">
                  <c:v>пгт Палана - 3 (0,7%)</c:v>
                </c:pt>
                <c:pt idx="4">
                  <c:v>из др субъектов РФ - 16 (4%)</c:v>
                </c:pt>
                <c:pt idx="5">
                  <c:v>1. Алеутский мр - 0</c:v>
                </c:pt>
                <c:pt idx="6">
                  <c:v>2. Быстринский мр - 2 (0,5%)</c:v>
                </c:pt>
                <c:pt idx="7">
                  <c:v>3. Елизовский мр - 19 (4,4%)</c:v>
                </c:pt>
                <c:pt idx="8">
                  <c:v>4. Карагинский мр - 3 (0,7%)</c:v>
                </c:pt>
                <c:pt idx="9">
                  <c:v>5. Мильковский мр - 12 (2,8%)</c:v>
                </c:pt>
                <c:pt idx="10">
                  <c:v>6. Олюторский мр - 5 (1,2%)</c:v>
                </c:pt>
                <c:pt idx="11">
                  <c:v>7. Пенжинский мр - 17 (4,0%)</c:v>
                </c:pt>
                <c:pt idx="12">
                  <c:v>8. Соболевский мр - 0</c:v>
                </c:pt>
                <c:pt idx="13">
                  <c:v>9. Тигильский мр - 6 (1,4%)</c:v>
                </c:pt>
                <c:pt idx="14">
                  <c:v>10. Усть-Большерецкий мр - 4 (1,0%)</c:v>
                </c:pt>
                <c:pt idx="15">
                  <c:v>11. Усть-Камчатскй мр - 18 (4,2%)</c:v>
                </c:pt>
              </c:strCache>
            </c:str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267</c:v>
                </c:pt>
                <c:pt idx="1">
                  <c:v>37</c:v>
                </c:pt>
                <c:pt idx="2">
                  <c:v>18</c:v>
                </c:pt>
                <c:pt idx="3">
                  <c:v>3</c:v>
                </c:pt>
                <c:pt idx="4">
                  <c:v>16</c:v>
                </c:pt>
                <c:pt idx="5">
                  <c:v>0</c:v>
                </c:pt>
                <c:pt idx="6">
                  <c:v>2</c:v>
                </c:pt>
                <c:pt idx="7">
                  <c:v>19</c:v>
                </c:pt>
                <c:pt idx="8">
                  <c:v>3</c:v>
                </c:pt>
                <c:pt idx="9">
                  <c:v>12</c:v>
                </c:pt>
                <c:pt idx="10">
                  <c:v>5</c:v>
                </c:pt>
                <c:pt idx="11">
                  <c:v>17</c:v>
                </c:pt>
                <c:pt idx="12">
                  <c:v>0</c:v>
                </c:pt>
                <c:pt idx="13">
                  <c:v>6</c:v>
                </c:pt>
                <c:pt idx="14">
                  <c:v>4</c:v>
                </c:pt>
                <c:pt idx="15">
                  <c:v>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128"/>
        <c:holeSize val="1"/>
      </c:doughnutChart>
      <c:spPr>
        <a:noFill/>
        <a:effectLst>
          <a:softEdge rad="1104900"/>
        </a:effectLst>
        <a:scene3d>
          <a:camera prst="orthographicFront"/>
          <a:lightRig rig="threePt" dir="t"/>
        </a:scene3d>
        <a:sp3d>
          <a:bevelT w="57150"/>
        </a:sp3d>
      </c:spPr>
    </c:plotArea>
    <c:legend>
      <c:legendPos val="b"/>
      <c:legendEntry>
        <c:idx val="0"/>
        <c:txPr>
          <a:bodyPr rot="0" vert="horz"/>
          <a:lstStyle/>
          <a:p>
            <a:pPr>
              <a:defRPr sz="900" b="1" i="1">
                <a:solidFill>
                  <a:schemeClr val="tx1"/>
                </a:solidFill>
                <a:latin typeface="Andalus" pitchFamily="18" charset="-78"/>
                <a:cs typeface="Andalus" pitchFamily="18" charset="-78"/>
              </a:defRPr>
            </a:pPr>
            <a:endParaRPr lang="ru-RU"/>
          </a:p>
        </c:txPr>
      </c:legendEntry>
      <c:legendEntry>
        <c:idx val="1"/>
        <c:txPr>
          <a:bodyPr rot="0" vert="horz"/>
          <a:lstStyle/>
          <a:p>
            <a:pPr>
              <a:defRPr sz="900" b="1" i="1">
                <a:solidFill>
                  <a:schemeClr val="tx1"/>
                </a:solidFill>
                <a:latin typeface="Andalus" pitchFamily="18" charset="-78"/>
                <a:cs typeface="Andalus" pitchFamily="18" charset="-78"/>
              </a:defRPr>
            </a:pPr>
            <a:endParaRPr lang="ru-RU"/>
          </a:p>
        </c:txPr>
      </c:legendEntry>
      <c:legendEntry>
        <c:idx val="2"/>
        <c:txPr>
          <a:bodyPr rot="0" vert="horz"/>
          <a:lstStyle/>
          <a:p>
            <a:pPr>
              <a:defRPr sz="900" b="1" i="1">
                <a:solidFill>
                  <a:schemeClr val="tx1"/>
                </a:solidFill>
                <a:latin typeface="Andalus" pitchFamily="18" charset="-78"/>
                <a:cs typeface="Andalus" pitchFamily="18" charset="-78"/>
              </a:defRPr>
            </a:pPr>
            <a:endParaRPr lang="ru-RU"/>
          </a:p>
        </c:txPr>
      </c:legendEntry>
      <c:legendEntry>
        <c:idx val="3"/>
        <c:txPr>
          <a:bodyPr rot="0" vert="horz"/>
          <a:lstStyle/>
          <a:p>
            <a:pPr>
              <a:defRPr sz="900" b="0" i="1">
                <a:solidFill>
                  <a:schemeClr val="tx1"/>
                </a:solidFill>
                <a:latin typeface="Andalus" pitchFamily="18" charset="-78"/>
                <a:cs typeface="Andalus" pitchFamily="18" charset="-78"/>
              </a:defRPr>
            </a:pPr>
            <a:endParaRPr lang="ru-RU"/>
          </a:p>
        </c:txPr>
      </c:legendEntry>
      <c:legendEntry>
        <c:idx val="4"/>
        <c:txPr>
          <a:bodyPr rot="0" vert="horz"/>
          <a:lstStyle/>
          <a:p>
            <a:pPr>
              <a:defRPr sz="900" b="0" i="1">
                <a:solidFill>
                  <a:schemeClr val="tx1"/>
                </a:solidFill>
                <a:latin typeface="Andalus" pitchFamily="18" charset="-78"/>
                <a:cs typeface="Andalus" pitchFamily="18" charset="-78"/>
              </a:defRPr>
            </a:pPr>
            <a:endParaRPr lang="ru-RU"/>
          </a:p>
        </c:txPr>
      </c:legendEntry>
      <c:legendEntry>
        <c:idx val="5"/>
        <c:txPr>
          <a:bodyPr rot="0" vert="horz"/>
          <a:lstStyle/>
          <a:p>
            <a:pPr>
              <a:defRPr sz="900" i="1">
                <a:solidFill>
                  <a:schemeClr val="tx1"/>
                </a:solidFill>
                <a:latin typeface="Andalus" pitchFamily="18" charset="-78"/>
                <a:cs typeface="Andalus" pitchFamily="18" charset="-78"/>
              </a:defRPr>
            </a:pPr>
            <a:endParaRPr lang="ru-RU"/>
          </a:p>
        </c:txPr>
      </c:legendEntry>
      <c:legendEntry>
        <c:idx val="6"/>
        <c:txPr>
          <a:bodyPr rot="0" vert="horz"/>
          <a:lstStyle/>
          <a:p>
            <a:pPr>
              <a:defRPr sz="900" i="1">
                <a:solidFill>
                  <a:schemeClr val="tx1"/>
                </a:solidFill>
                <a:latin typeface="Andalus" pitchFamily="18" charset="-78"/>
                <a:cs typeface="Andalus" pitchFamily="18" charset="-78"/>
              </a:defRPr>
            </a:pPr>
            <a:endParaRPr lang="ru-RU"/>
          </a:p>
        </c:txPr>
      </c:legendEntry>
      <c:legendEntry>
        <c:idx val="7"/>
        <c:txPr>
          <a:bodyPr rot="0" vert="horz"/>
          <a:lstStyle/>
          <a:p>
            <a:pPr>
              <a:defRPr sz="900" b="1" i="1">
                <a:solidFill>
                  <a:schemeClr val="tx1"/>
                </a:solidFill>
                <a:latin typeface="Andalus" pitchFamily="18" charset="-78"/>
                <a:cs typeface="Andalus" pitchFamily="18" charset="-78"/>
              </a:defRPr>
            </a:pPr>
            <a:endParaRPr lang="ru-RU"/>
          </a:p>
        </c:txPr>
      </c:legendEntry>
      <c:legendEntry>
        <c:idx val="8"/>
        <c:txPr>
          <a:bodyPr rot="0" vert="horz"/>
          <a:lstStyle/>
          <a:p>
            <a:pPr>
              <a:defRPr sz="900" i="1">
                <a:solidFill>
                  <a:schemeClr val="tx1"/>
                </a:solidFill>
                <a:latin typeface="Andalus" pitchFamily="18" charset="-78"/>
                <a:cs typeface="Andalus" pitchFamily="18" charset="-78"/>
              </a:defRPr>
            </a:pPr>
            <a:endParaRPr lang="ru-RU"/>
          </a:p>
        </c:txPr>
      </c:legendEntry>
      <c:legendEntry>
        <c:idx val="9"/>
        <c:txPr>
          <a:bodyPr rot="0" vert="horz"/>
          <a:lstStyle/>
          <a:p>
            <a:pPr>
              <a:defRPr sz="900" i="1">
                <a:solidFill>
                  <a:schemeClr val="tx1"/>
                </a:solidFill>
                <a:latin typeface="Andalus" pitchFamily="18" charset="-78"/>
                <a:cs typeface="Andalus" pitchFamily="18" charset="-78"/>
              </a:defRPr>
            </a:pPr>
            <a:endParaRPr lang="ru-RU"/>
          </a:p>
        </c:txPr>
      </c:legendEntry>
      <c:legendEntry>
        <c:idx val="10"/>
        <c:txPr>
          <a:bodyPr rot="0" vert="horz"/>
          <a:lstStyle/>
          <a:p>
            <a:pPr>
              <a:defRPr sz="900" i="1">
                <a:solidFill>
                  <a:schemeClr val="tx1"/>
                </a:solidFill>
                <a:latin typeface="Andalus" pitchFamily="18" charset="-78"/>
                <a:cs typeface="Andalus" pitchFamily="18" charset="-78"/>
              </a:defRPr>
            </a:pPr>
            <a:endParaRPr lang="ru-RU"/>
          </a:p>
        </c:txPr>
      </c:legendEntry>
      <c:legendEntry>
        <c:idx val="11"/>
        <c:txPr>
          <a:bodyPr rot="0" vert="horz"/>
          <a:lstStyle/>
          <a:p>
            <a:pPr>
              <a:defRPr sz="900" i="1">
                <a:solidFill>
                  <a:schemeClr val="tx1"/>
                </a:solidFill>
                <a:latin typeface="Andalus" pitchFamily="18" charset="-78"/>
                <a:cs typeface="Andalus" pitchFamily="18" charset="-78"/>
              </a:defRPr>
            </a:pPr>
            <a:endParaRPr lang="ru-RU"/>
          </a:p>
        </c:txPr>
      </c:legendEntry>
      <c:legendEntry>
        <c:idx val="12"/>
        <c:txPr>
          <a:bodyPr rot="0" vert="horz"/>
          <a:lstStyle/>
          <a:p>
            <a:pPr>
              <a:defRPr sz="900" i="1">
                <a:solidFill>
                  <a:schemeClr val="tx1"/>
                </a:solidFill>
                <a:latin typeface="Andalus" pitchFamily="18" charset="-78"/>
                <a:cs typeface="Andalus" pitchFamily="18" charset="-78"/>
              </a:defRPr>
            </a:pPr>
            <a:endParaRPr lang="ru-RU"/>
          </a:p>
        </c:txPr>
      </c:legendEntry>
      <c:legendEntry>
        <c:idx val="13"/>
        <c:txPr>
          <a:bodyPr rot="0" vert="horz"/>
          <a:lstStyle/>
          <a:p>
            <a:pPr>
              <a:defRPr sz="900" i="1">
                <a:solidFill>
                  <a:schemeClr val="tx1"/>
                </a:solidFill>
                <a:latin typeface="Andalus" pitchFamily="18" charset="-78"/>
                <a:cs typeface="Andalus" pitchFamily="18" charset="-78"/>
              </a:defRPr>
            </a:pPr>
            <a:endParaRPr lang="ru-RU"/>
          </a:p>
        </c:txPr>
      </c:legendEntry>
      <c:legendEntry>
        <c:idx val="14"/>
        <c:txPr>
          <a:bodyPr rot="0" vert="horz"/>
          <a:lstStyle/>
          <a:p>
            <a:pPr>
              <a:defRPr sz="900" i="1">
                <a:solidFill>
                  <a:schemeClr val="tx1"/>
                </a:solidFill>
                <a:latin typeface="Andalus" pitchFamily="18" charset="-78"/>
                <a:cs typeface="Andalus" pitchFamily="18" charset="-78"/>
              </a:defRPr>
            </a:pPr>
            <a:endParaRPr lang="ru-RU"/>
          </a:p>
        </c:txPr>
      </c:legendEntry>
      <c:legendEntry>
        <c:idx val="15"/>
        <c:txPr>
          <a:bodyPr rot="0" vert="horz"/>
          <a:lstStyle/>
          <a:p>
            <a:pPr>
              <a:defRPr sz="900" b="1" i="1">
                <a:solidFill>
                  <a:schemeClr val="tx1"/>
                </a:solidFill>
                <a:latin typeface="Andalus" pitchFamily="18" charset="-78"/>
                <a:cs typeface="Andalus" pitchFamily="18" charset="-78"/>
              </a:defRPr>
            </a:pPr>
            <a:endParaRPr lang="ru-RU"/>
          </a:p>
        </c:txPr>
      </c:legendEntry>
      <c:layout>
        <c:manualLayout>
          <c:xMode val="edge"/>
          <c:yMode val="edge"/>
          <c:x val="0"/>
          <c:y val="0.12963189209889689"/>
          <c:w val="0.53064759061980005"/>
          <c:h val="0.85612965699228805"/>
        </c:manualLayout>
      </c:layout>
      <c:overlay val="0"/>
      <c:spPr>
        <a:noFill/>
      </c:spPr>
      <c:txPr>
        <a:bodyPr rot="0" vert="horz"/>
        <a:lstStyle/>
        <a:p>
          <a:pPr>
            <a:defRPr sz="900" i="1">
              <a:solidFill>
                <a:schemeClr val="tx1"/>
              </a:solidFill>
              <a:latin typeface="Andalus" pitchFamily="18" charset="-78"/>
              <a:cs typeface="Andalus" pitchFamily="18" charset="-78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  <a:effectLst/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accent5">
                    <a:lumMod val="50000"/>
                  </a:schemeClr>
                </a:solidFill>
                <a:effectLst>
                  <a:outerShdw blurRad="50800" dist="38100" algn="l" rotWithShape="0">
                    <a:srgbClr val="660033">
                      <a:alpha val="40000"/>
                    </a:srgbClr>
                  </a:outerShdw>
                </a:effectLst>
                <a:latin typeface="Algerian" panose="04020705040A02060702" pitchFamily="82" charset="0"/>
                <a:ea typeface="+mn-ea"/>
                <a:cs typeface="+mn-cs"/>
              </a:defRPr>
            </a:pPr>
            <a:r>
              <a:rPr lang="ru-RU" sz="1200">
                <a:solidFill>
                  <a:schemeClr val="accent5">
                    <a:lumMod val="50000"/>
                  </a:schemeClr>
                </a:solidFill>
                <a:effectLst>
                  <a:outerShdw blurRad="50800" dist="38100" algn="l" rotWithShape="0">
                    <a:srgbClr val="660033">
                      <a:alpha val="40000"/>
                    </a:srgbClr>
                  </a:outerShdw>
                </a:effectLst>
              </a:rPr>
              <a:t>Классификация тематики обращений граждан:</a:t>
            </a:r>
          </a:p>
        </c:rich>
      </c:tx>
      <c:layout>
        <c:manualLayout>
          <c:xMode val="edge"/>
          <c:yMode val="edge"/>
          <c:x val="0.2025269597205861"/>
          <c:y val="4.0553635482703894E-3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37053686471009306"/>
          <c:y val="0.11895308861040257"/>
          <c:w val="0.61545588003348584"/>
          <c:h val="0.8561449502488014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 год</c:v>
                </c:pt>
              </c:strCache>
            </c:strRef>
          </c:tx>
          <c:spPr>
            <a:gradFill>
              <a:gsLst>
                <a:gs pos="98000">
                  <a:schemeClr val="accent5">
                    <a:lumMod val="50000"/>
                  </a:schemeClr>
                </a:gs>
                <a:gs pos="67000">
                  <a:srgbClr val="FFFFC5"/>
                </a:gs>
                <a:gs pos="26000">
                  <a:srgbClr val="CEFDFE"/>
                </a:gs>
              </a:gsLst>
              <a:path path="circle">
                <a:fillToRect l="100000" t="100000"/>
              </a:path>
            </a:gradFill>
            <a:ln w="9525" cap="flat" cmpd="sng" algn="ctr">
              <a:solidFill>
                <a:srgbClr val="FF0000">
                  <a:alpha val="50000"/>
                </a:srgbClr>
              </a:solidFill>
              <a:round/>
            </a:ln>
            <a:effectLst>
              <a:glow>
                <a:schemeClr val="accent1">
                  <a:lumMod val="60000"/>
                  <a:lumOff val="40000"/>
                  <a:alpha val="81000"/>
                </a:schemeClr>
              </a:glow>
              <a:softEdge rad="0"/>
            </a:effectLst>
            <a:scene3d>
              <a:camera prst="orthographicFront"/>
              <a:lightRig rig="threePt" dir="t"/>
            </a:scene3d>
            <a:sp3d prstMaterial="matte">
              <a:bevelT w="31750" h="107950" prst="slope"/>
              <a:bevelB prst="slope"/>
            </a:sp3d>
          </c:spPr>
          <c:invertIfNegative val="0"/>
          <c:dLbls>
            <c:dLbl>
              <c:idx val="0"/>
              <c:layout>
                <c:manualLayout>
                  <c:x val="0"/>
                  <c:y val="9.7536528143987965E-3"/>
                </c:manualLayout>
              </c:layout>
              <c:tx>
                <c:rich>
                  <a:bodyPr rot="0" spcFirstLastPara="1" vertOverflow="overflow" horzOverflow="overflow" vert="horz" wrap="none" lIns="0" tIns="0" rIns="0" bIns="0" anchor="t" anchorCtr="0">
                    <a:noAutofit/>
                  </a:bodyPr>
                  <a:lstStyle/>
                  <a:p>
                    <a:pPr marL="0" marR="0" lvl="0" indent="0" algn="ctr" defTabSz="914400" rtl="0" eaLnBrk="1" fontAlgn="auto" latinLnBrk="0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buClrTx/>
                      <a:buSzTx/>
                      <a:buFontTx/>
                      <a:buNone/>
                      <a:tabLst/>
                      <a:defRPr sz="900" b="0" i="0" u="none" strike="noStrike" kern="1200" baseline="0">
                        <a:solidFill>
                          <a:srgbClr val="660033"/>
                        </a:solidFill>
                        <a:latin typeface="Algerian" panose="04020705040A02060702" pitchFamily="82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ru-RU" sz="900" b="1">
                        <a:solidFill>
                          <a:srgbClr val="660033"/>
                        </a:solidFill>
                      </a:rPr>
                      <a:t>4</a:t>
                    </a:r>
                    <a:r>
                      <a:rPr lang="ru-RU" sz="900" b="0">
                        <a:solidFill>
                          <a:srgbClr val="660033"/>
                        </a:solidFill>
                      </a:rPr>
                      <a:t>(0,9%) </a:t>
                    </a:r>
                    <a:r>
                      <a:rPr lang="ru-RU" sz="900" b="1" i="0" u="none" strike="noStrike" kern="1200" baseline="0">
                        <a:solidFill>
                          <a:srgbClr val="660033"/>
                        </a:solidFill>
                        <a:effectLst/>
                        <a:latin typeface="Algerian" panose="04020705040A02060702" pitchFamily="82" charset="0"/>
                        <a:cs typeface="Times New Roman" panose="02020603050405020304" pitchFamily="18" charset="0"/>
                        <a:sym typeface="Wingdings 3" panose="05040102010807070707" pitchFamily="18" charset="2"/>
                      </a:rPr>
                      <a:t> на 3</a:t>
                    </a:r>
                    <a:endParaRPr lang="ru-RU" sz="900" b="0">
                      <a:solidFill>
                        <a:schemeClr val="accent6">
                          <a:lumMod val="50000"/>
                        </a:schemeClr>
                      </a:solidFill>
                    </a:endParaRPr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>
                    <c:manualLayout>
                      <c:w val="0.11206459887806518"/>
                      <c:h val="7.2605913116729634E-2"/>
                    </c:manualLayout>
                  </c15:layout>
                </c:ext>
              </c:extLst>
            </c:dLbl>
            <c:dLbl>
              <c:idx val="1"/>
              <c:layout/>
              <c:tx>
                <c:rich>
                  <a:bodyPr rot="0" spcFirstLastPara="1" vertOverflow="overflow" horzOverflow="overflow" vert="horz" wrap="none" lIns="0" tIns="0" rIns="0" bIns="0" anchor="t" anchorCtr="0">
                    <a:spAutoFit/>
                  </a:bodyPr>
                  <a:lstStyle/>
                  <a:p>
                    <a:pPr marL="0" marR="0" indent="0" algn="ctr" defTabSz="914400" rtl="0" eaLnBrk="1" fontAlgn="auto" latinLnBrk="0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buClrTx/>
                      <a:buSzTx/>
                      <a:buFontTx/>
                      <a:buNone/>
                      <a:tabLst/>
                      <a:defRPr sz="900" b="0" i="0" u="none" strike="noStrike" kern="1200" baseline="0">
                        <a:solidFill>
                          <a:srgbClr val="660033"/>
                        </a:solidFill>
                        <a:latin typeface="Algerian" panose="04020705040A02060702" pitchFamily="82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ru-RU" sz="900" b="1">
                        <a:solidFill>
                          <a:srgbClr val="660033"/>
                        </a:solidFill>
                      </a:rPr>
                      <a:t>4</a:t>
                    </a:r>
                    <a:r>
                      <a:rPr lang="ru-RU" sz="900" b="0">
                        <a:solidFill>
                          <a:srgbClr val="660033"/>
                        </a:solidFill>
                      </a:rPr>
                      <a:t>(0,9%) </a:t>
                    </a:r>
                    <a:r>
                      <a:rPr lang="ru-RU" sz="900" b="1" i="0" u="none" strike="noStrike" kern="1200" baseline="0">
                        <a:solidFill>
                          <a:srgbClr val="660033"/>
                        </a:solidFill>
                        <a:effectLst/>
                        <a:latin typeface="Algerian" panose="04020705040A02060702" pitchFamily="82" charset="0"/>
                        <a:cs typeface="Times New Roman" panose="02020603050405020304" pitchFamily="18" charset="0"/>
                        <a:sym typeface="Wingdings 3" panose="05040102010807070707" pitchFamily="18" charset="2"/>
                      </a:rPr>
                      <a:t> на 16</a:t>
                    </a:r>
                    <a:endParaRPr lang="ru-RU" sz="900" b="1" i="0" u="none" strike="noStrike" kern="1200" baseline="0">
                      <a:solidFill>
                        <a:schemeClr val="accent6">
                          <a:lumMod val="50000"/>
                        </a:schemeClr>
                      </a:solidFill>
                      <a:latin typeface="Algerian" panose="04020705040A02060702" pitchFamily="82" charset="0"/>
                      <a:cs typeface="Times New Roman" panose="02020603050405020304" pitchFamily="18" charset="0"/>
                    </a:endParaRPr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ru-RU" b="1">
                        <a:solidFill>
                          <a:srgbClr val="660033"/>
                        </a:solidFill>
                      </a:rPr>
                      <a:t>4</a:t>
                    </a:r>
                    <a:r>
                      <a:rPr lang="ru-RU">
                        <a:solidFill>
                          <a:srgbClr val="660033"/>
                        </a:solidFill>
                      </a:rPr>
                      <a:t>(0,9%) </a:t>
                    </a:r>
                    <a:r>
                      <a:rPr lang="ru-RU" sz="900" b="1" i="0" u="none" strike="noStrike" kern="1200" baseline="0">
                        <a:solidFill>
                          <a:srgbClr val="660033"/>
                        </a:solidFill>
                        <a:effectLst/>
                        <a:latin typeface="Algerian" panose="04020705040A02060702" pitchFamily="82" charset="0"/>
                        <a:cs typeface="Times New Roman" panose="02020603050405020304" pitchFamily="18" charset="0"/>
                        <a:sym typeface="Wingdings 3" panose="05040102010807070707" pitchFamily="18" charset="2"/>
                      </a:rPr>
                      <a:t> </a:t>
                    </a:r>
                    <a:r>
                      <a:rPr lang="ru-RU" sz="900" b="1" i="0" u="none" strike="noStrike" baseline="0">
                        <a:solidFill>
                          <a:srgbClr val="660033"/>
                        </a:solidFill>
                        <a:effectLst/>
                        <a:sym typeface="Wingdings 3" panose="05040102010807070707" pitchFamily="18" charset="2"/>
                      </a:rPr>
                      <a:t> на 1</a:t>
                    </a:r>
                    <a:endParaRPr lang="ru-RU" sz="900">
                      <a:solidFill>
                        <a:schemeClr val="accent6">
                          <a:lumMod val="50000"/>
                        </a:schemeClr>
                      </a:solidFill>
                    </a:endParaRP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ru-RU" sz="900" b="1">
                        <a:solidFill>
                          <a:srgbClr val="660033"/>
                        </a:solidFill>
                      </a:rPr>
                      <a:t>5</a:t>
                    </a:r>
                    <a:r>
                      <a:rPr lang="ru-RU" sz="850">
                        <a:solidFill>
                          <a:srgbClr val="660033"/>
                        </a:solidFill>
                      </a:rPr>
                      <a:t> (1,2%) </a:t>
                    </a:r>
                    <a:r>
                      <a:rPr lang="ru-RU" sz="900" b="1" i="0" u="none" strike="noStrike" kern="1200" baseline="0">
                        <a:solidFill>
                          <a:srgbClr val="660033"/>
                        </a:solidFill>
                        <a:effectLst/>
                        <a:latin typeface="Algerian" panose="04020705040A02060702" pitchFamily="82" charset="0"/>
                        <a:cs typeface="Times New Roman" panose="02020603050405020304" pitchFamily="18" charset="0"/>
                        <a:sym typeface="Wingdings 3" panose="05040102010807070707" pitchFamily="18" charset="2"/>
                      </a:rPr>
                      <a:t> </a:t>
                    </a:r>
                    <a:r>
                      <a:rPr lang="ru-RU" sz="900" b="1" i="0" u="none" strike="noStrike" baseline="0">
                        <a:solidFill>
                          <a:srgbClr val="660033"/>
                        </a:solidFill>
                        <a:effectLst/>
                        <a:sym typeface="Wingdings 3" panose="05040102010807070707" pitchFamily="18" charset="2"/>
                      </a:rPr>
                      <a:t> на 4</a:t>
                    </a:r>
                    <a:endParaRPr lang="ru-RU" sz="900">
                      <a:solidFill>
                        <a:schemeClr val="accent6">
                          <a:lumMod val="50000"/>
                        </a:schemeClr>
                      </a:solidFill>
                    </a:endParaRP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ru-RU" sz="850" b="1">
                        <a:solidFill>
                          <a:srgbClr val="660033"/>
                        </a:solidFill>
                      </a:rPr>
                      <a:t>7</a:t>
                    </a:r>
                    <a:r>
                      <a:rPr lang="ru-RU" sz="850">
                        <a:solidFill>
                          <a:srgbClr val="660033"/>
                        </a:solidFill>
                      </a:rPr>
                      <a:t> (1,6%) </a:t>
                    </a:r>
                    <a:r>
                      <a:rPr lang="ru-RU" sz="850" b="1" i="0" u="none" strike="noStrike" baseline="0">
                        <a:solidFill>
                          <a:srgbClr val="660033"/>
                        </a:solidFill>
                        <a:effectLst/>
                        <a:sym typeface="Wingdings 3" panose="05040102010807070707" pitchFamily="18" charset="2"/>
                      </a:rPr>
                      <a:t>на прежнем уровне</a:t>
                    </a:r>
                    <a:endParaRPr lang="ru-RU" sz="850">
                      <a:solidFill>
                        <a:schemeClr val="accent6">
                          <a:lumMod val="50000"/>
                        </a:schemeClr>
                      </a:solidFill>
                    </a:endParaRP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ru-RU" sz="900" b="1">
                        <a:solidFill>
                          <a:srgbClr val="660033"/>
                        </a:solidFill>
                      </a:rPr>
                      <a:t>8</a:t>
                    </a:r>
                    <a:r>
                      <a:rPr lang="ru-RU" sz="850">
                        <a:solidFill>
                          <a:srgbClr val="660033"/>
                        </a:solidFill>
                      </a:rPr>
                      <a:t>(1,9%) </a:t>
                    </a:r>
                    <a:r>
                      <a:rPr lang="ru-RU" sz="800" b="1" i="0" u="none" strike="noStrike" kern="1200" baseline="0">
                        <a:solidFill>
                          <a:srgbClr val="660033"/>
                        </a:solidFill>
                        <a:effectLst/>
                        <a:latin typeface="Algerian" panose="04020705040A02060702" pitchFamily="82" charset="0"/>
                        <a:cs typeface="Times New Roman" panose="02020603050405020304" pitchFamily="18" charset="0"/>
                        <a:sym typeface="Wingdings 3" panose="05040102010807070707" pitchFamily="18" charset="2"/>
                      </a:rPr>
                      <a:t> </a:t>
                    </a:r>
                    <a:r>
                      <a:rPr lang="ru-RU" sz="850" b="1" i="0" u="none" strike="noStrike" baseline="0">
                        <a:solidFill>
                          <a:srgbClr val="660033"/>
                        </a:solidFill>
                        <a:effectLst/>
                        <a:sym typeface="Wingdings 3" panose="05040102010807070707" pitchFamily="18" charset="2"/>
                      </a:rPr>
                      <a:t> на 8</a:t>
                    </a:r>
                    <a:endParaRPr lang="ru-RU" sz="850">
                      <a:solidFill>
                        <a:schemeClr val="accent6">
                          <a:lumMod val="50000"/>
                        </a:schemeClr>
                      </a:solidFill>
                    </a:endParaRP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/>
              <c:tx>
                <c:rich>
                  <a:bodyPr rot="0" spcFirstLastPara="1" vertOverflow="overflow" horzOverflow="overflow" vert="horz" wrap="none" lIns="0" tIns="0" rIns="0" bIns="0" anchor="t" anchorCtr="0">
                    <a:spAutoFit/>
                  </a:bodyPr>
                  <a:lstStyle/>
                  <a:p>
                    <a:pPr marL="0" marR="0" indent="0" algn="ctr" defTabSz="914400" rtl="0" eaLnBrk="1" fontAlgn="auto" latinLnBrk="0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buClrTx/>
                      <a:buSzTx/>
                      <a:buFontTx/>
                      <a:buNone/>
                      <a:tabLst/>
                      <a:defRPr sz="900" b="0" i="0" u="none" strike="noStrike" kern="1200" baseline="0">
                        <a:solidFill>
                          <a:srgbClr val="660033"/>
                        </a:solidFill>
                        <a:latin typeface="Algerian" panose="04020705040A02060702" pitchFamily="82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ru-RU" sz="900" b="1">
                        <a:solidFill>
                          <a:srgbClr val="660033"/>
                        </a:solidFill>
                      </a:rPr>
                      <a:t>14</a:t>
                    </a:r>
                    <a:r>
                      <a:rPr lang="ru-RU" sz="900" b="0">
                        <a:solidFill>
                          <a:srgbClr val="660033"/>
                        </a:solidFill>
                      </a:rPr>
                      <a:t>(3,3%) </a:t>
                    </a:r>
                    <a:r>
                      <a:rPr lang="ru-RU" sz="900" b="1" i="0" u="none" strike="noStrike" kern="1200" baseline="0">
                        <a:solidFill>
                          <a:srgbClr val="660033"/>
                        </a:solidFill>
                        <a:effectLst/>
                        <a:latin typeface="Algerian" panose="04020705040A02060702" pitchFamily="82" charset="0"/>
                        <a:cs typeface="Times New Roman" panose="02020603050405020304" pitchFamily="18" charset="0"/>
                        <a:sym typeface="Wingdings 3" panose="05040102010807070707" pitchFamily="18" charset="2"/>
                      </a:rPr>
                      <a:t> на </a:t>
                    </a:r>
                    <a:r>
                      <a:rPr lang="ru-RU" sz="900" b="0" i="0" u="none" strike="noStrike" kern="1200" baseline="0">
                        <a:solidFill>
                          <a:srgbClr val="660033"/>
                        </a:solidFill>
                        <a:effectLst/>
                        <a:latin typeface="Algerian" panose="04020705040A02060702" pitchFamily="82" charset="0"/>
                        <a:cs typeface="Times New Roman" panose="02020603050405020304" pitchFamily="18" charset="0"/>
                        <a:sym typeface="Wingdings 3" panose="05040102010807070707" pitchFamily="18" charset="2"/>
                      </a:rPr>
                      <a:t>9</a:t>
                    </a:r>
                    <a:endParaRPr lang="ru-RU" sz="900" b="0" i="0" u="none" strike="noStrike" kern="1200" baseline="0">
                      <a:solidFill>
                        <a:schemeClr val="accent6">
                          <a:lumMod val="50000"/>
                        </a:schemeClr>
                      </a:solidFill>
                      <a:latin typeface="Algerian" panose="04020705040A02060702" pitchFamily="82" charset="0"/>
                      <a:cs typeface="Times New Roman" panose="02020603050405020304" pitchFamily="18" charset="0"/>
                    </a:endParaRPr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</c:extLst>
            </c:dLbl>
            <c:dLbl>
              <c:idx val="7"/>
              <c:layout>
                <c:manualLayout>
                  <c:x val="2.0751193193607872E-3"/>
                  <c:y val="4.9529470034670627E-3"/>
                </c:manualLayout>
              </c:layout>
              <c:tx>
                <c:rich>
                  <a:bodyPr rot="0" spcFirstLastPara="1" vertOverflow="overflow" horzOverflow="overflow" vert="horz" wrap="none" lIns="0" tIns="0" rIns="0" bIns="0" anchor="t" anchorCtr="0">
                    <a:spAutoFit/>
                  </a:bodyPr>
                  <a:lstStyle/>
                  <a:p>
                    <a:pPr marL="0" marR="0" indent="0" algn="ctr" defTabSz="914400" rtl="0" eaLnBrk="1" fontAlgn="auto" latinLnBrk="0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buClrTx/>
                      <a:buSzTx/>
                      <a:buFontTx/>
                      <a:buNone/>
                      <a:tabLst/>
                      <a:defRPr sz="900" b="0" i="0" u="none" strike="noStrike" kern="1200" baseline="0">
                        <a:solidFill>
                          <a:srgbClr val="660033"/>
                        </a:solidFill>
                        <a:latin typeface="Algerian" panose="04020705040A02060702" pitchFamily="82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ru-RU" sz="900" b="1">
                        <a:solidFill>
                          <a:srgbClr val="660033"/>
                        </a:solidFill>
                      </a:rPr>
                      <a:t>15</a:t>
                    </a:r>
                    <a:r>
                      <a:rPr lang="ru-RU" sz="900" b="0">
                        <a:solidFill>
                          <a:srgbClr val="660033"/>
                        </a:solidFill>
                      </a:rPr>
                      <a:t>(3,5%) </a:t>
                    </a:r>
                    <a:r>
                      <a:rPr lang="ru-RU" sz="900" b="1" i="0" u="none" strike="noStrike" kern="1200" baseline="0">
                        <a:solidFill>
                          <a:srgbClr val="C00000"/>
                        </a:solidFill>
                        <a:effectLst/>
                        <a:latin typeface="Algerian" panose="04020705040A02060702" pitchFamily="82" charset="0"/>
                        <a:cs typeface="Times New Roman" panose="02020603050405020304" pitchFamily="18" charset="0"/>
                        <a:sym typeface="Wingdings 3" panose="05040102010807070707" pitchFamily="18" charset="2"/>
                      </a:rPr>
                      <a:t> на 12</a:t>
                    </a:r>
                    <a:endParaRPr lang="ru-RU" sz="900" b="1">
                      <a:solidFill>
                        <a:srgbClr val="C00000"/>
                      </a:solidFill>
                    </a:endParaRPr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</c:extLst>
            </c:dLbl>
            <c:dLbl>
              <c:idx val="8"/>
              <c:layout/>
              <c:tx>
                <c:rich>
                  <a:bodyPr/>
                  <a:lstStyle/>
                  <a:p>
                    <a:r>
                      <a:rPr lang="ru-RU" sz="900" b="1">
                        <a:solidFill>
                          <a:srgbClr val="660033"/>
                        </a:solidFill>
                      </a:rPr>
                      <a:t>17</a:t>
                    </a:r>
                    <a:r>
                      <a:rPr lang="ru-RU" sz="900">
                        <a:solidFill>
                          <a:srgbClr val="660033"/>
                        </a:solidFill>
                      </a:rPr>
                      <a:t>(4%) </a:t>
                    </a:r>
                    <a:r>
                      <a:rPr lang="ru-RU" sz="900" b="1" i="0" u="none" strike="noStrike" kern="1200" baseline="0">
                        <a:solidFill>
                          <a:srgbClr val="C00000"/>
                        </a:solidFill>
                        <a:effectLst/>
                        <a:latin typeface="Algerian" panose="04020705040A02060702" pitchFamily="82" charset="0"/>
                        <a:cs typeface="Times New Roman" panose="02020603050405020304" pitchFamily="18" charset="0"/>
                        <a:sym typeface="Wingdings 3" panose="05040102010807070707" pitchFamily="18" charset="2"/>
                      </a:rPr>
                      <a:t>  на 2</a:t>
                    </a:r>
                    <a:endParaRPr lang="ru-RU" sz="900" b="1" i="0" u="none" strike="noStrike" kern="1200" baseline="0">
                      <a:solidFill>
                        <a:srgbClr val="C00000"/>
                      </a:solidFill>
                      <a:latin typeface="Algerian" panose="04020705040A02060702" pitchFamily="82" charset="0"/>
                      <a:cs typeface="Times New Roman" panose="02020603050405020304" pitchFamily="18" charset="0"/>
                    </a:endParaRP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/>
              <c:tx>
                <c:rich>
                  <a:bodyPr rot="0" spcFirstLastPara="1" vertOverflow="overflow" horzOverflow="overflow" vert="horz" wrap="none" lIns="0" tIns="0" rIns="0" bIns="0" anchor="t" anchorCtr="0">
                    <a:spAutoFit/>
                  </a:bodyPr>
                  <a:lstStyle/>
                  <a:p>
                    <a:pPr marL="0" marR="0" indent="0" algn="ctr" defTabSz="914400" rtl="0" eaLnBrk="1" fontAlgn="auto" latinLnBrk="0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buClrTx/>
                      <a:buSzTx/>
                      <a:buFontTx/>
                      <a:buNone/>
                      <a:tabLst/>
                      <a:defRPr sz="900" b="0" i="0" u="none" strike="noStrike" kern="1200" baseline="0">
                        <a:solidFill>
                          <a:srgbClr val="660033"/>
                        </a:solidFill>
                        <a:latin typeface="Algerian" panose="04020705040A02060702" pitchFamily="82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ru-RU" sz="900" b="1">
                        <a:solidFill>
                          <a:srgbClr val="660033"/>
                        </a:solidFill>
                      </a:rPr>
                      <a:t>34</a:t>
                    </a:r>
                    <a:r>
                      <a:rPr lang="ru-RU" sz="900" b="0">
                        <a:solidFill>
                          <a:srgbClr val="660033"/>
                        </a:solidFill>
                      </a:rPr>
                      <a:t>(8%) </a:t>
                    </a:r>
                    <a:r>
                      <a:rPr lang="ru-RU" sz="900" b="1" i="0" u="none" strike="noStrike" kern="1200" baseline="0">
                        <a:solidFill>
                          <a:srgbClr val="C00000"/>
                        </a:solidFill>
                        <a:effectLst/>
                        <a:latin typeface="Algerian" panose="04020705040A02060702" pitchFamily="82" charset="0"/>
                        <a:cs typeface="Times New Roman" panose="02020603050405020304" pitchFamily="18" charset="0"/>
                        <a:sym typeface="Wingdings 3" panose="05040102010807070707" pitchFamily="18" charset="2"/>
                      </a:rPr>
                      <a:t> на 12</a:t>
                    </a:r>
                    <a:endParaRPr lang="ru-RU" sz="900" b="1" i="0" u="none" strike="noStrike" kern="1200" baseline="0">
                      <a:solidFill>
                        <a:srgbClr val="C00000"/>
                      </a:solidFill>
                      <a:latin typeface="Algerian" panose="04020705040A02060702" pitchFamily="82" charset="0"/>
                      <a:cs typeface="Times New Roman" panose="02020603050405020304" pitchFamily="18" charset="0"/>
                    </a:endParaRPr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</c:extLst>
            </c:dLbl>
            <c:dLbl>
              <c:idx val="10"/>
              <c:layout>
                <c:manualLayout>
                  <c:x val="-4.1502386387217262E-3"/>
                  <c:y val="-4.5401489716564611E-17"/>
                </c:manualLayout>
              </c:layout>
              <c:tx>
                <c:rich>
                  <a:bodyPr/>
                  <a:lstStyle/>
                  <a:p>
                    <a:r>
                      <a:rPr lang="ru-RU" sz="900" b="1">
                        <a:solidFill>
                          <a:srgbClr val="660033"/>
                        </a:solidFill>
                      </a:rPr>
                      <a:t>34</a:t>
                    </a:r>
                    <a:r>
                      <a:rPr lang="ru-RU" sz="900">
                        <a:solidFill>
                          <a:srgbClr val="660033"/>
                        </a:solidFill>
                      </a:rPr>
                      <a:t> (8%) </a:t>
                    </a:r>
                    <a:r>
                      <a:rPr lang="ru-RU" sz="900" b="1" i="0" u="none" strike="noStrike" kern="1200" baseline="0">
                        <a:solidFill>
                          <a:srgbClr val="C00000"/>
                        </a:solidFill>
                        <a:effectLst/>
                        <a:latin typeface="Algerian" panose="04020705040A02060702" pitchFamily="82" charset="0"/>
                        <a:cs typeface="Times New Roman" panose="02020603050405020304" pitchFamily="18" charset="0"/>
                        <a:sym typeface="Wingdings 3" panose="05040102010807070707" pitchFamily="18" charset="2"/>
                      </a:rPr>
                      <a:t> на 9</a:t>
                    </a:r>
                    <a:endParaRPr lang="ru-RU" sz="900" b="1" i="0" u="none" strike="noStrike" kern="1200" baseline="0">
                      <a:solidFill>
                        <a:srgbClr val="C00000"/>
                      </a:solidFill>
                      <a:latin typeface="Algerian" panose="04020705040A02060702" pitchFamily="82" charset="0"/>
                      <a:cs typeface="Times New Roman" panose="02020603050405020304" pitchFamily="18" charset="0"/>
                    </a:endParaRP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/>
              <c:tx>
                <c:rich>
                  <a:bodyPr/>
                  <a:lstStyle/>
                  <a:p>
                    <a:r>
                      <a:rPr lang="ru-RU" sz="900" b="1">
                        <a:solidFill>
                          <a:srgbClr val="660033"/>
                        </a:solidFill>
                      </a:rPr>
                      <a:t>42</a:t>
                    </a:r>
                    <a:r>
                      <a:rPr lang="ru-RU" sz="900">
                        <a:solidFill>
                          <a:srgbClr val="660033"/>
                        </a:solidFill>
                      </a:rPr>
                      <a:t>(9,8%) </a:t>
                    </a:r>
                    <a:r>
                      <a:rPr lang="ru-RU" sz="900" b="1" i="0" u="none" strike="noStrike" baseline="0">
                        <a:solidFill>
                          <a:srgbClr val="660033"/>
                        </a:solidFill>
                        <a:effectLst/>
                        <a:sym typeface="Wingdings 3" panose="05040102010807070707" pitchFamily="18" charset="2"/>
                      </a:rPr>
                      <a:t> на 3</a:t>
                    </a:r>
                    <a:endParaRPr lang="ru-RU" sz="900">
                      <a:solidFill>
                        <a:schemeClr val="accent6">
                          <a:lumMod val="50000"/>
                        </a:schemeClr>
                      </a:solidFill>
                    </a:endParaRP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/>
              <c:tx>
                <c:rich>
                  <a:bodyPr/>
                  <a:lstStyle/>
                  <a:p>
                    <a:r>
                      <a:rPr lang="ru-RU" sz="900" b="1">
                        <a:solidFill>
                          <a:srgbClr val="660033"/>
                        </a:solidFill>
                      </a:rPr>
                      <a:t>50</a:t>
                    </a:r>
                    <a:r>
                      <a:rPr lang="ru-RU" sz="900">
                        <a:solidFill>
                          <a:srgbClr val="660033"/>
                        </a:solidFill>
                      </a:rPr>
                      <a:t>(11,7%) </a:t>
                    </a:r>
                    <a:r>
                      <a:rPr lang="ru-RU" sz="900" b="1" i="0" u="none" strike="noStrike" kern="1200" baseline="0">
                        <a:solidFill>
                          <a:srgbClr val="660033"/>
                        </a:solidFill>
                        <a:effectLst/>
                        <a:latin typeface="Algerian" panose="04020705040A02060702" pitchFamily="82" charset="0"/>
                        <a:cs typeface="Times New Roman" panose="02020603050405020304" pitchFamily="18" charset="0"/>
                        <a:sym typeface="Wingdings 3" panose="05040102010807070707" pitchFamily="18" charset="2"/>
                      </a:rPr>
                      <a:t> на 87</a:t>
                    </a:r>
                    <a:endParaRPr lang="ru-RU" sz="900" b="1" i="0" u="none" strike="noStrike" kern="1200" baseline="0">
                      <a:solidFill>
                        <a:schemeClr val="accent6">
                          <a:lumMod val="50000"/>
                        </a:schemeClr>
                      </a:solidFill>
                      <a:latin typeface="Algerian" panose="04020705040A02060702" pitchFamily="82" charset="0"/>
                      <a:cs typeface="Times New Roman" panose="02020603050405020304" pitchFamily="18" charset="0"/>
                    </a:endParaRP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3"/>
              <c:layout/>
              <c:tx>
                <c:rich>
                  <a:bodyPr/>
                  <a:lstStyle/>
                  <a:p>
                    <a:r>
                      <a:rPr lang="ru-RU" sz="900" b="1">
                        <a:solidFill>
                          <a:srgbClr val="660033"/>
                        </a:solidFill>
                        <a:latin typeface="Algerian" panose="04020705040A02060702" pitchFamily="82" charset="0"/>
                      </a:rPr>
                      <a:t>84</a:t>
                    </a:r>
                    <a:r>
                      <a:rPr lang="ru-RU" sz="900" b="0">
                        <a:solidFill>
                          <a:srgbClr val="660033"/>
                        </a:solidFill>
                        <a:latin typeface="Algerian" panose="04020705040A02060702" pitchFamily="82" charset="0"/>
                      </a:rPr>
                      <a:t>(19,7%) </a:t>
                    </a:r>
                    <a:r>
                      <a:rPr lang="ru-RU" sz="900" b="1" i="0" u="none" strike="noStrike" baseline="0">
                        <a:solidFill>
                          <a:srgbClr val="660033"/>
                        </a:solidFill>
                        <a:effectLst/>
                        <a:sym typeface="Wingdings 3" panose="05040102010807070707" pitchFamily="18" charset="2"/>
                      </a:rPr>
                      <a:t> на 19</a:t>
                    </a:r>
                    <a:endParaRPr lang="ru-RU" sz="900" b="1">
                      <a:solidFill>
                        <a:schemeClr val="accent6">
                          <a:lumMod val="50000"/>
                        </a:schemeClr>
                      </a:solidFill>
                      <a:latin typeface="Algerian" panose="04020705040A02060702" pitchFamily="82" charset="0"/>
                    </a:endParaRP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4"/>
              <c:layout>
                <c:manualLayout>
                  <c:x val="0"/>
                  <c:y val="-4.3235472066925358E-2"/>
                </c:manualLayout>
              </c:layout>
              <c:tx>
                <c:rich>
                  <a:bodyPr/>
                  <a:lstStyle/>
                  <a:p>
                    <a:r>
                      <a:rPr lang="ru-RU" sz="900" b="1">
                        <a:solidFill>
                          <a:srgbClr val="660033"/>
                        </a:solidFill>
                        <a:latin typeface="Algerian" panose="04020705040A02060702" pitchFamily="82" charset="0"/>
                        <a:cs typeface="Times New Roman" panose="02020603050405020304" pitchFamily="18" charset="0"/>
                      </a:rPr>
                      <a:t>105</a:t>
                    </a:r>
                    <a:r>
                      <a:rPr lang="ru-RU" sz="900" b="0">
                        <a:solidFill>
                          <a:srgbClr val="660033"/>
                        </a:solidFill>
                        <a:latin typeface="Algerian" panose="04020705040A02060702" pitchFamily="82" charset="0"/>
                        <a:cs typeface="Times New Roman" panose="02020603050405020304" pitchFamily="18" charset="0"/>
                      </a:rPr>
                      <a:t> (24,6%) </a:t>
                    </a:r>
                    <a:r>
                      <a:rPr lang="ru-RU" sz="900" b="1" i="0" u="none" strike="noStrike" baseline="0">
                        <a:solidFill>
                          <a:srgbClr val="660033"/>
                        </a:solidFill>
                        <a:effectLst/>
                        <a:sym typeface="Wingdings 3" panose="05040102010807070707" pitchFamily="18" charset="2"/>
                      </a:rPr>
                      <a:t> на 5</a:t>
                    </a:r>
                    <a:endParaRPr lang="ru-RU" sz="900" b="1">
                      <a:solidFill>
                        <a:schemeClr val="accent6">
                          <a:lumMod val="50000"/>
                        </a:schemeClr>
                      </a:solidFill>
                      <a:latin typeface="Algerian" panose="04020705040A02060702" pitchFamily="82" charset="0"/>
                      <a:cs typeface="Times New Roman" panose="02020603050405020304" pitchFamily="18" charset="0"/>
                    </a:endParaRP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5"/>
              <c:layout>
                <c:manualLayout>
                  <c:x val="-9.8193244304791826E-3"/>
                  <c:y val="-4.9119452584019514E-2"/>
                </c:manualLayout>
              </c:layout>
              <c:tx>
                <c:rich>
                  <a:bodyPr/>
                  <a:lstStyle/>
                  <a:p>
                    <a:r>
                      <a:rPr lang="ru-RU" sz="850" b="1">
                        <a:solidFill>
                          <a:srgbClr val="660033"/>
                        </a:solidFill>
                      </a:rPr>
                      <a:t>137 (25%) </a:t>
                    </a:r>
                    <a:r>
                      <a:rPr lang="ru-RU" sz="850" b="1" i="0" u="none" strike="noStrike" baseline="0">
                        <a:solidFill>
                          <a:srgbClr val="660033"/>
                        </a:solidFill>
                        <a:effectLst/>
                        <a:sym typeface="Wingdings 3" panose="05040102010807070707" pitchFamily="18" charset="2"/>
                      </a:rPr>
                      <a:t> на 96</a:t>
                    </a:r>
                    <a:endParaRPr lang="ru-RU" sz="850">
                      <a:solidFill>
                        <a:srgbClr val="C00000"/>
                      </a:solidFill>
                    </a:endParaRP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overflow" horzOverflow="overflow" vert="horz" wrap="none" lIns="0" tIns="0" rIns="0" bIns="0" anchor="t" anchorCtr="0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660033"/>
                    </a:solidFill>
                    <a:latin typeface="Algerian" panose="04020705040A02060702" pitchFamily="82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Пенсионное обеспечение</c:v>
                </c:pt>
                <c:pt idx="1">
                  <c:v>Экология</c:v>
                </c:pt>
                <c:pt idx="2">
                  <c:v>С/х. Землепользование</c:v>
                </c:pt>
                <c:pt idx="3">
                  <c:v>Образование</c:v>
                </c:pt>
                <c:pt idx="4">
                  <c:v>Экономика и финансы</c:v>
                </c:pt>
                <c:pt idx="5">
                  <c:v>Наука. Культура. Информация. Спорт</c:v>
                </c:pt>
                <c:pt idx="6">
                  <c:v>Труд, занятость, з/п</c:v>
                </c:pt>
                <c:pt idx="7">
                  <c:v>Разное </c:v>
                </c:pt>
                <c:pt idx="8">
                  <c:v>Работа правоохранительных органов </c:v>
                </c:pt>
                <c:pt idx="9">
                  <c:v>Правовые вопросы</c:v>
                </c:pt>
                <c:pt idx="10">
                  <c:v>Здравоохранение </c:v>
                </c:pt>
                <c:pt idx="11">
                  <c:v>Транспорт. Строительство. Связь. Дороги</c:v>
                </c:pt>
                <c:pt idx="12">
                  <c:v>Государство и политика. м/с</c:v>
                </c:pt>
                <c:pt idx="13">
                  <c:v>Социальная защита</c:v>
                </c:pt>
                <c:pt idx="14">
                  <c:v>ЖКХ и вопросы жилья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4</c:v>
                </c:pt>
                <c:pt idx="1">
                  <c:v>4</c:v>
                </c:pt>
                <c:pt idx="2">
                  <c:v>4</c:v>
                </c:pt>
                <c:pt idx="3">
                  <c:v>5</c:v>
                </c:pt>
                <c:pt idx="4">
                  <c:v>7</c:v>
                </c:pt>
                <c:pt idx="5">
                  <c:v>8</c:v>
                </c:pt>
                <c:pt idx="6">
                  <c:v>14</c:v>
                </c:pt>
                <c:pt idx="7">
                  <c:v>15</c:v>
                </c:pt>
                <c:pt idx="8">
                  <c:v>17</c:v>
                </c:pt>
                <c:pt idx="9">
                  <c:v>34</c:v>
                </c:pt>
                <c:pt idx="10">
                  <c:v>34</c:v>
                </c:pt>
                <c:pt idx="11">
                  <c:v>42</c:v>
                </c:pt>
                <c:pt idx="12">
                  <c:v>50</c:v>
                </c:pt>
                <c:pt idx="13">
                  <c:v>84</c:v>
                </c:pt>
                <c:pt idx="14">
                  <c:v>105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35"/>
        <c:overlap val="-6"/>
        <c:axId val="430502528"/>
        <c:axId val="430495456"/>
      </c:barChart>
      <c:valAx>
        <c:axId val="43049545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30502528"/>
        <c:crosses val="autoZero"/>
        <c:crossBetween val="between"/>
      </c:valAx>
      <c:catAx>
        <c:axId val="4305025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50" b="1" i="0" u="none" strike="noStrike" kern="1200" cap="none" baseline="0">
                <a:solidFill>
                  <a:srgbClr val="002060"/>
                </a:solidFill>
                <a:latin typeface="Algerian" panose="04020705040A02060702" pitchFamily="82" charset="0"/>
                <a:ea typeface="+mn-ea"/>
                <a:cs typeface="+mn-cs"/>
              </a:defRPr>
            </a:pPr>
            <a:endParaRPr lang="ru-RU"/>
          </a:p>
        </c:txPr>
        <c:crossAx val="43049545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/>
            </a:pPr>
            <a:r>
              <a:rPr lang="ru-RU" sz="900">
                <a:latin typeface="Sylfaen" pitchFamily="18" charset="0"/>
              </a:rPr>
              <a:t>Динамика поступления коллективных обращений с начала третьего созыва</a:t>
            </a:r>
          </a:p>
        </c:rich>
      </c:tx>
      <c:layout>
        <c:manualLayout>
          <c:xMode val="edge"/>
          <c:yMode val="edge"/>
          <c:x val="0.10913118385429485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798424809254247"/>
          <c:y val="0.49975849792969435"/>
          <c:w val="0.79817868570022155"/>
          <c:h val="0.4199070509849129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VI кв. 2016 г.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accent6">
                        <a:lumMod val="50000"/>
                      </a:schemeClr>
                    </a:solidFill>
                    <a:latin typeface="Sylfae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accent2">
                        <a:lumMod val="50000"/>
                      </a:schemeClr>
                    </a:solidFill>
                    <a:latin typeface="Sylfae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66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accent4">
                        <a:lumMod val="50000"/>
                      </a:schemeClr>
                    </a:solidFill>
                    <a:latin typeface="Sylfae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57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2019 г.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rgbClr val="C00000"/>
                    </a:solidFill>
                    <a:latin typeface="Sylfae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43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430489472"/>
        <c:axId val="430496000"/>
      </c:barChart>
      <c:catAx>
        <c:axId val="430489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430496000"/>
        <c:crosses val="autoZero"/>
        <c:auto val="1"/>
        <c:lblAlgn val="ctr"/>
        <c:lblOffset val="100"/>
        <c:noMultiLvlLbl val="0"/>
      </c:catAx>
      <c:valAx>
        <c:axId val="43049600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30489472"/>
        <c:crosses val="autoZero"/>
        <c:crossBetween val="between"/>
      </c:valAx>
      <c:spPr>
        <a:noFill/>
        <a:ln>
          <a:noFill/>
        </a:ln>
      </c:spPr>
    </c:plotArea>
    <c:legend>
      <c:legendPos val="t"/>
      <c:layout>
        <c:manualLayout>
          <c:xMode val="edge"/>
          <c:yMode val="edge"/>
          <c:x val="5.9844188380054467E-2"/>
          <c:y val="0.30810584160850862"/>
          <c:w val="0.8999998837284563"/>
          <c:h val="0.18153595627446159"/>
        </c:manualLayout>
      </c:layout>
      <c:overlay val="0"/>
      <c:txPr>
        <a:bodyPr/>
        <a:lstStyle/>
        <a:p>
          <a:pPr>
            <a:defRPr sz="900" b="1">
              <a:latin typeface="Sylfae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4275</Words>
  <Characters>24373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Сыряная Наталья Владимировна</dc:creator>
  <cp:keywords/>
  <dc:description/>
  <cp:lastModifiedBy>Сыряная Наталья Владимировна</cp:lastModifiedBy>
  <cp:revision>2</cp:revision>
  <dcterms:created xsi:type="dcterms:W3CDTF">2020-03-01T21:41:00Z</dcterms:created>
  <dcterms:modified xsi:type="dcterms:W3CDTF">2020-03-01T21:52:00Z</dcterms:modified>
</cp:coreProperties>
</file>