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33" w:rsidRDefault="00237038">
      <w:pPr>
        <w:spacing w:line="264" w:lineRule="auto"/>
        <w:jc w:val="right"/>
        <w:rPr>
          <w:sz w:val="20"/>
        </w:rPr>
      </w:pPr>
      <w:r>
        <w:rPr>
          <w:sz w:val="20"/>
        </w:rPr>
        <w:t>Проект закона Камчатского края внесен</w:t>
      </w:r>
    </w:p>
    <w:p w:rsidR="00FD2433" w:rsidRDefault="00237038">
      <w:pPr>
        <w:spacing w:line="264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Правительством Камчатского края </w:t>
      </w:r>
    </w:p>
    <w:p w:rsidR="00FD2433" w:rsidRDefault="00FD2433">
      <w:pPr>
        <w:spacing w:line="264" w:lineRule="auto"/>
        <w:jc w:val="center"/>
        <w:rPr>
          <w:b/>
          <w:sz w:val="28"/>
        </w:rPr>
      </w:pPr>
    </w:p>
    <w:p w:rsidR="00FD2433" w:rsidRDefault="00237038">
      <w:pPr>
        <w:spacing w:line="264" w:lineRule="auto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3890" cy="812165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rcRect l="-112" t="-89" r="-111" b="-87"/>
                        <a:stretch/>
                      </pic:blipFill>
                      <pic:spPr bwMode="auto">
                        <a:xfrm>
                          <a:off x="0" y="0"/>
                          <a:ext cx="643890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70pt;height:63.9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D2433" w:rsidRDefault="00FD2433">
      <w:pPr>
        <w:spacing w:line="264" w:lineRule="auto"/>
        <w:jc w:val="center"/>
        <w:rPr>
          <w:b/>
          <w:sz w:val="28"/>
        </w:rPr>
      </w:pPr>
    </w:p>
    <w:p w:rsidR="00FD2433" w:rsidRDefault="00237038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FD2433" w:rsidRDefault="00237038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Камчатского кра</w:t>
      </w:r>
      <w:bookmarkStart w:id="0" w:name="sub_85291"/>
      <w:r>
        <w:rPr>
          <w:b/>
          <w:sz w:val="28"/>
        </w:rPr>
        <w:t>я</w:t>
      </w:r>
    </w:p>
    <w:p w:rsidR="00FD2433" w:rsidRDefault="00FD2433">
      <w:pPr>
        <w:jc w:val="center"/>
        <w:rPr>
          <w:b/>
          <w:sz w:val="28"/>
        </w:rPr>
      </w:pPr>
    </w:p>
    <w:p w:rsidR="00FD2433" w:rsidRDefault="00237038">
      <w:pPr>
        <w:jc w:val="center"/>
        <w:rPr>
          <w:b/>
          <w:sz w:val="28"/>
        </w:rPr>
      </w:pPr>
      <w:r>
        <w:rPr>
          <w:b/>
          <w:sz w:val="28"/>
        </w:rPr>
        <w:t xml:space="preserve">О дополнительной мере социальной поддержки семей, имеющих детей, в части погашения обязательств по ипотечным жилищным </w:t>
      </w:r>
      <w:r>
        <w:rPr>
          <w:b/>
          <w:sz w:val="28"/>
        </w:rPr>
        <w:br/>
        <w:t>кредитам (займам)</w:t>
      </w:r>
    </w:p>
    <w:p w:rsidR="00FD2433" w:rsidRDefault="00FD2433">
      <w:pPr>
        <w:jc w:val="center"/>
        <w:rPr>
          <w:b/>
          <w:sz w:val="28"/>
        </w:rPr>
      </w:pPr>
    </w:p>
    <w:p w:rsidR="00FD2433" w:rsidRDefault="00237038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FD2433" w:rsidRDefault="00237038">
      <w:pPr>
        <w:spacing w:line="288" w:lineRule="auto"/>
        <w:jc w:val="center"/>
        <w:rPr>
          <w:i/>
        </w:rPr>
      </w:pPr>
      <w:r>
        <w:rPr>
          <w:i/>
        </w:rPr>
        <w:t xml:space="preserve">"___"__________ 2024 года </w:t>
      </w:r>
      <w:bookmarkEnd w:id="0"/>
    </w:p>
    <w:p w:rsidR="00FD2433" w:rsidRDefault="00FD2433">
      <w:pPr>
        <w:ind w:firstLine="709"/>
        <w:jc w:val="both"/>
        <w:rPr>
          <w:i/>
          <w:sz w:val="28"/>
        </w:rPr>
      </w:pPr>
    </w:p>
    <w:p w:rsidR="00FD2433" w:rsidRDefault="00237038">
      <w:pPr>
        <w:pStyle w:val="aff3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Статья 1.</w:t>
      </w:r>
      <w:r>
        <w:rPr>
          <w:rFonts w:ascii="Times New Roman" w:hAnsi="Times New Roman"/>
          <w:b/>
          <w:sz w:val="28"/>
        </w:rPr>
        <w:t xml:space="preserve"> Предмет регулирования настояще</w:t>
      </w:r>
      <w:r>
        <w:rPr>
          <w:rFonts w:ascii="Times New Roman" w:hAnsi="Times New Roman"/>
          <w:b/>
          <w:sz w:val="28"/>
        </w:rPr>
        <w:t>го Закона</w:t>
      </w:r>
    </w:p>
    <w:p w:rsidR="00FD2433" w:rsidRDefault="00237038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устанавливает дополнительную меру социальной поддержки семей, имеющих детей, в части погашения обязательств по ипотечным жилищным кредитам (займам) (далее – мера социальной поддержки) и регулирует вопросы, связанные с реализацией </w:t>
      </w:r>
      <w:r>
        <w:rPr>
          <w:sz w:val="28"/>
        </w:rPr>
        <w:t>данной меры социальной поддержки.</w:t>
      </w:r>
    </w:p>
    <w:p w:rsidR="00FD2433" w:rsidRDefault="00FD2433">
      <w:pPr>
        <w:jc w:val="both"/>
        <w:rPr>
          <w:sz w:val="28"/>
        </w:rPr>
      </w:pPr>
    </w:p>
    <w:p w:rsidR="00FD2433" w:rsidRDefault="00237038">
      <w:pPr>
        <w:ind w:firstLine="709"/>
        <w:jc w:val="both"/>
        <w:rPr>
          <w:sz w:val="28"/>
        </w:rPr>
      </w:pPr>
      <w:r>
        <w:rPr>
          <w:sz w:val="28"/>
        </w:rPr>
        <w:t>Статья 2.</w:t>
      </w:r>
      <w:r>
        <w:rPr>
          <w:b/>
          <w:sz w:val="28"/>
        </w:rPr>
        <w:t xml:space="preserve"> Правовая основа настоящего Закона</w:t>
      </w:r>
    </w:p>
    <w:p w:rsidR="00FD2433" w:rsidRDefault="00237038">
      <w:pPr>
        <w:ind w:firstLine="709"/>
        <w:jc w:val="both"/>
        <w:rPr>
          <w:sz w:val="28"/>
        </w:rPr>
      </w:pPr>
      <w:r>
        <w:rPr>
          <w:sz w:val="28"/>
        </w:rPr>
        <w:t>Правовой основой настоящего Закона являются Конституция Российской Федерации, Федеральный закон от 21.12.2021 № 414-ФЗ "Об общих принципах организации публичной власти в субъект</w:t>
      </w:r>
      <w:r>
        <w:rPr>
          <w:sz w:val="28"/>
        </w:rPr>
        <w:t>ах Российской Федерации", Федеральный закон от 03.07.2019 № 157-ФЗ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"Об а</w:t>
      </w:r>
      <w:r>
        <w:rPr>
          <w:sz w:val="28"/>
        </w:rPr>
        <w:t>ктах гражданского состояния" (далее – Федеральный закон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"Об актах гражда</w:t>
      </w:r>
      <w:r>
        <w:rPr>
          <w:sz w:val="28"/>
        </w:rPr>
        <w:t>нского состояния"), иные федеральные законы и нормативные правовые акты Российской Федерации, Устав Камчатского края и законы Камчатского края.</w:t>
      </w:r>
    </w:p>
    <w:p w:rsidR="00FD2433" w:rsidRDefault="00FD2433">
      <w:pPr>
        <w:jc w:val="both"/>
        <w:rPr>
          <w:sz w:val="28"/>
        </w:rPr>
      </w:pPr>
    </w:p>
    <w:p w:rsidR="00FD2433" w:rsidRDefault="00237038">
      <w:pPr>
        <w:ind w:firstLine="709"/>
        <w:jc w:val="both"/>
        <w:rPr>
          <w:sz w:val="28"/>
        </w:rPr>
      </w:pPr>
      <w:r>
        <w:rPr>
          <w:sz w:val="28"/>
        </w:rPr>
        <w:t>Статья 3.</w:t>
      </w:r>
      <w:r>
        <w:rPr>
          <w:b/>
          <w:sz w:val="28"/>
        </w:rPr>
        <w:t xml:space="preserve"> Право на меру социальной поддержки</w:t>
      </w:r>
    </w:p>
    <w:p w:rsidR="00FD2433" w:rsidRDefault="00237038">
      <w:pPr>
        <w:ind w:firstLine="709"/>
        <w:jc w:val="both"/>
        <w:rPr>
          <w:sz w:val="28"/>
        </w:rPr>
      </w:pPr>
      <w:r>
        <w:rPr>
          <w:sz w:val="28"/>
        </w:rPr>
        <w:t>1. Право на меру социальной поддержки имеют граждане Российской Фе</w:t>
      </w:r>
      <w:r>
        <w:rPr>
          <w:sz w:val="28"/>
        </w:rPr>
        <w:t xml:space="preserve">дерации, проживающие на территории Камчатского края, – мать или </w:t>
      </w:r>
      <w:r>
        <w:rPr>
          <w:sz w:val="28"/>
        </w:rPr>
        <w:lastRenderedPageBreak/>
        <w:t>отец, у которых в период с 1 января 2024 года по 31 декабря 2026 года родились третий ребенок или последующие дети, государственная регистрация рождения которых произведена в органах записи ак</w:t>
      </w:r>
      <w:r>
        <w:rPr>
          <w:sz w:val="28"/>
        </w:rPr>
        <w:t>тов гражданского состояния:</w:t>
      </w:r>
    </w:p>
    <w:p w:rsidR="00FD2433" w:rsidRDefault="00237038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на территории Камчатского края;</w:t>
      </w:r>
    </w:p>
    <w:p w:rsidR="00FD2433" w:rsidRDefault="00237038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на территории другого</w:t>
      </w:r>
      <w:r>
        <w:rPr>
          <w:sz w:val="28"/>
        </w:rPr>
        <w:t xml:space="preserve"> субъекта Российской Федерации при направлении матери медицинскими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на территории Камчатского края, на </w:t>
      </w:r>
      <w:proofErr w:type="spellStart"/>
      <w:r>
        <w:rPr>
          <w:sz w:val="28"/>
        </w:rPr>
        <w:t>родоразрешен</w:t>
      </w:r>
      <w:r>
        <w:rPr>
          <w:sz w:val="28"/>
        </w:rPr>
        <w:t>ие</w:t>
      </w:r>
      <w:proofErr w:type="spellEnd"/>
      <w:r>
        <w:rPr>
          <w:sz w:val="28"/>
        </w:rPr>
        <w:t xml:space="preserve"> по медицинским показаниям в медицинскую организацию, расположенную в другом субъекте Российской Федерации;</w:t>
      </w:r>
    </w:p>
    <w:p w:rsidR="00FD2433" w:rsidRDefault="00237038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на территории другого субъекта Российской Федерации при условии проживания на территории Камчатского края гражданина, указанного в абзаце перво</w:t>
      </w:r>
      <w:r>
        <w:rPr>
          <w:sz w:val="28"/>
        </w:rPr>
        <w:t>м настоящей части, и ребенка, в связи с рождением которого возникло право на меру социальной поддержки, на дату обращения за мерой социальной поддержки.</w:t>
      </w:r>
    </w:p>
    <w:p w:rsidR="00FD2433" w:rsidRDefault="00237038">
      <w:pPr>
        <w:ind w:firstLine="709"/>
        <w:jc w:val="both"/>
        <w:rPr>
          <w:sz w:val="28"/>
        </w:rPr>
      </w:pPr>
      <w:r>
        <w:rPr>
          <w:sz w:val="28"/>
        </w:rPr>
        <w:t>2. При определении права на меру социальной поддержки не учитываются дети, не являющиеся гражданами Рос</w:t>
      </w:r>
      <w:r>
        <w:rPr>
          <w:sz w:val="28"/>
        </w:rPr>
        <w:t>сийской Федерации, а также дети, в отношении которых гражданин был лишен родительских прав или в отношении которого было отменено усыновление.</w:t>
      </w:r>
    </w:p>
    <w:p w:rsidR="00FD2433" w:rsidRDefault="00FD2433">
      <w:pPr>
        <w:ind w:firstLine="709"/>
        <w:jc w:val="both"/>
        <w:rPr>
          <w:sz w:val="28"/>
        </w:rPr>
      </w:pPr>
    </w:p>
    <w:p w:rsidR="00FD2433" w:rsidRDefault="0023703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Статья 4. </w:t>
      </w:r>
      <w:r>
        <w:rPr>
          <w:b/>
          <w:sz w:val="28"/>
        </w:rPr>
        <w:t>Мера социальной поддержки, условия и порядок ее реализации</w:t>
      </w:r>
    </w:p>
    <w:p w:rsidR="00FD2433" w:rsidRDefault="00237038">
      <w:pPr>
        <w:pStyle w:val="af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Мера социальной поддержки реализуется путем</w:t>
      </w:r>
      <w:r>
        <w:rPr>
          <w:sz w:val="28"/>
        </w:rPr>
        <w:t xml:space="preserve"> полного или частичного погашения обязательств по ипотечному жилищному кредиту (займу) гражданина, указанного в статье 3 настоящего Закона, в размере задолженности, оставшейся после реализации им права на меры государственной поддержки семей, имеющих детей</w:t>
      </w:r>
      <w:r>
        <w:rPr>
          <w:sz w:val="28"/>
        </w:rPr>
        <w:t>, в целях создания условий для погашения обязательств по ипотечным жилищным кредитам (займам) в соответствии с Федеральным законом "О мерах государственной поддержки семей, имеющих детей, в части погашения обязательств по ипотечным жилищным кредитам (займа</w:t>
      </w:r>
      <w:r>
        <w:rPr>
          <w:sz w:val="28"/>
        </w:rPr>
        <w:t>м) и о внесении изменений в статью 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"Об актах гражданского состояния", но не более 550 тысяч рублей. Указанные средства направляются на погашение задолженности по основному долгу, а в случае, если такая задолженность меньше указанног</w:t>
      </w:r>
      <w:r>
        <w:rPr>
          <w:sz w:val="28"/>
        </w:rPr>
        <w:t>о размера, оставшиеся средства направляются на погашение процентов, начисленных за пользование ипотечным жилищным кредитом (займом).</w:t>
      </w:r>
    </w:p>
    <w:p w:rsidR="00FD2433" w:rsidRDefault="00237038">
      <w:pPr>
        <w:ind w:firstLine="709"/>
        <w:contextualSpacing/>
        <w:jc w:val="both"/>
        <w:rPr>
          <w:sz w:val="28"/>
        </w:rPr>
      </w:pPr>
      <w:r>
        <w:rPr>
          <w:sz w:val="28"/>
        </w:rPr>
        <w:t>2. Мера социальной поддержки реализуется однократно в отношении только одного ипотечного жилищного кредита (займа) независи</w:t>
      </w:r>
      <w:r>
        <w:rPr>
          <w:sz w:val="28"/>
        </w:rPr>
        <w:t>мо от рождения детей после реализации меры социальной поддержки.</w:t>
      </w:r>
    </w:p>
    <w:p w:rsidR="00FD2433" w:rsidRDefault="0023703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Мера социальной поддержки реализуется при одновременном соблюдении следующих условий:</w:t>
      </w:r>
    </w:p>
    <w:p w:rsidR="00FD2433" w:rsidRDefault="0023703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гражданин, указанный в статье 3 настоящего Закона, реализовал право на меры государственной поддерж</w:t>
      </w:r>
      <w:r>
        <w:rPr>
          <w:sz w:val="28"/>
        </w:rPr>
        <w:t>ки семей, имеющих детей, в целях создания условий для погашения обязательств по ипотечным жилищным кредитам (займам) в соответствии с Федеральным законом "О мерах государственной поддержки семей, имеющих детей, в части погашения обязательств по ипотечным ж</w:t>
      </w:r>
      <w:r>
        <w:rPr>
          <w:sz w:val="28"/>
        </w:rPr>
        <w:t>илищным кредитам (займам) и о внесении изменений в статью 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"Об актах гражданского состояния" и является заемщиком по заключенному до 1 июля 2027 года ипотечному жилищному кредиту (займу) либо поручителем по ипотечному жилищному креди</w:t>
      </w:r>
      <w:r>
        <w:rPr>
          <w:sz w:val="28"/>
        </w:rPr>
        <w:t>ту (займу), но не заемщиком по такому кредиту (займу), при условии, что договор поручительства заключен до 30 апреля 2021 года и такому гражданину принадлежит право собственности (доля в праве общей собственности) на объект недвижимости, который указан в ч</w:t>
      </w:r>
      <w:r>
        <w:rPr>
          <w:sz w:val="28"/>
        </w:rPr>
        <w:t>асти 5 статьи 1 Федерального закона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"Об актах гражданского состояния" и </w:t>
      </w:r>
      <w:r>
        <w:rPr>
          <w:sz w:val="28"/>
        </w:rPr>
        <w:t>является обеспечением по соответствующему ипотечному жилищному кредиту (займу);</w:t>
      </w:r>
    </w:p>
    <w:p w:rsidR="00FD2433" w:rsidRDefault="00237038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2) объект недвижимости, который указан в части 5 статьи 1 Федерального закона "О мерах государственной поддержки семей, имеющих детей, в части погашения обязательств по ипотечн</w:t>
      </w:r>
      <w:r>
        <w:rPr>
          <w:color w:val="auto"/>
          <w:sz w:val="28"/>
        </w:rPr>
        <w:t>ым жилищным кредитам (займам) и о внесении изменений в статью 13</w:t>
      </w:r>
      <w:r>
        <w:rPr>
          <w:color w:val="auto"/>
          <w:sz w:val="28"/>
          <w:vertAlign w:val="superscript"/>
        </w:rPr>
        <w:t>2</w:t>
      </w:r>
      <w:r>
        <w:rPr>
          <w:color w:val="auto"/>
          <w:sz w:val="28"/>
        </w:rPr>
        <w:t xml:space="preserve"> Федерального закона "Об актах гражданского состояния", расположен на территории Камчатского края.</w:t>
      </w:r>
    </w:p>
    <w:p w:rsidR="00FD2433" w:rsidRDefault="00237038">
      <w:pPr>
        <w:ind w:firstLine="709"/>
        <w:contextualSpacing/>
        <w:jc w:val="both"/>
        <w:rPr>
          <w:sz w:val="28"/>
        </w:rPr>
      </w:pPr>
      <w:r>
        <w:rPr>
          <w:sz w:val="28"/>
        </w:rPr>
        <w:t>4. Порядок реализации</w:t>
      </w:r>
      <w:r>
        <w:t xml:space="preserve"> </w:t>
      </w:r>
      <w:r>
        <w:rPr>
          <w:sz w:val="28"/>
        </w:rPr>
        <w:t>меры социальной поддержки определяется</w:t>
      </w:r>
      <w:r>
        <w:rPr>
          <w:sz w:val="28"/>
        </w:rPr>
        <w:t xml:space="preserve"> постановлением Правительства Камчатского края.</w:t>
      </w:r>
    </w:p>
    <w:p w:rsidR="00FD2433" w:rsidRDefault="00FD2433">
      <w:pPr>
        <w:widowControl w:val="0"/>
        <w:ind w:firstLine="709"/>
        <w:jc w:val="both"/>
        <w:rPr>
          <w:sz w:val="28"/>
        </w:rPr>
      </w:pPr>
    </w:p>
    <w:p w:rsidR="00FD2433" w:rsidRDefault="0023703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Статья 5. </w:t>
      </w:r>
      <w:r>
        <w:rPr>
          <w:b/>
          <w:sz w:val="28"/>
        </w:rPr>
        <w:t>Финансовое обеспечение реализации настоящего Закона</w:t>
      </w:r>
    </w:p>
    <w:p w:rsidR="00FD2433" w:rsidRDefault="00237038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Финансовое обеспечение реализации настоящего Закона является расходным обязательством Камчатского края и осуществляется за счет средств краевого </w:t>
      </w:r>
      <w:r>
        <w:rPr>
          <w:sz w:val="28"/>
        </w:rPr>
        <w:t xml:space="preserve">бюджета, в том числе за счет средств межбюджетных трансфертов, предоставляемых из федерального бюджета в целях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расходных обязательств Камчатского края по реализации меры социальной поддержки. </w:t>
      </w:r>
    </w:p>
    <w:p w:rsidR="00FD2433" w:rsidRDefault="00FD2433">
      <w:pPr>
        <w:ind w:firstLine="709"/>
        <w:jc w:val="both"/>
        <w:rPr>
          <w:sz w:val="28"/>
        </w:rPr>
      </w:pPr>
    </w:p>
    <w:p w:rsidR="00FD2433" w:rsidRDefault="00237038">
      <w:pPr>
        <w:tabs>
          <w:tab w:val="left" w:pos="1197"/>
        </w:tabs>
        <w:ind w:firstLine="709"/>
        <w:jc w:val="both"/>
        <w:rPr>
          <w:sz w:val="28"/>
        </w:rPr>
      </w:pPr>
      <w:r>
        <w:rPr>
          <w:sz w:val="28"/>
        </w:rPr>
        <w:t>Статья 6.</w:t>
      </w:r>
      <w:r>
        <w:rPr>
          <w:b/>
          <w:sz w:val="28"/>
        </w:rPr>
        <w:t xml:space="preserve"> Вступление в силу настоящего Закона</w:t>
      </w:r>
    </w:p>
    <w:p w:rsidR="00FD2433" w:rsidRDefault="00237038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с 1 июля 2024 года.</w:t>
      </w:r>
    </w:p>
    <w:p w:rsidR="00FD2433" w:rsidRDefault="00FD2433">
      <w:pPr>
        <w:jc w:val="both"/>
        <w:rPr>
          <w:sz w:val="28"/>
        </w:rPr>
      </w:pPr>
    </w:p>
    <w:p w:rsidR="00FD2433" w:rsidRDefault="00FD2433">
      <w:pPr>
        <w:jc w:val="both"/>
        <w:rPr>
          <w:sz w:val="28"/>
        </w:rPr>
      </w:pPr>
    </w:p>
    <w:p w:rsidR="00FD2433" w:rsidRDefault="00FD2433">
      <w:pPr>
        <w:jc w:val="both"/>
        <w:rPr>
          <w:sz w:val="28"/>
        </w:rPr>
      </w:pPr>
    </w:p>
    <w:p w:rsidR="00FD2433" w:rsidRDefault="00237038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       В.В. Солодов </w:t>
      </w:r>
    </w:p>
    <w:p w:rsidR="00DC46C5" w:rsidRPr="00DC46C5" w:rsidRDefault="00DC46C5" w:rsidP="00DC46C5">
      <w:pPr>
        <w:jc w:val="center"/>
        <w:rPr>
          <w:b/>
          <w:sz w:val="28"/>
        </w:rPr>
      </w:pPr>
      <w:r w:rsidRPr="00DC46C5">
        <w:rPr>
          <w:b/>
          <w:sz w:val="28"/>
        </w:rPr>
        <w:lastRenderedPageBreak/>
        <w:t>Пояснительная записка</w:t>
      </w:r>
    </w:p>
    <w:p w:rsidR="00DC46C5" w:rsidRPr="00DC46C5" w:rsidRDefault="00DC46C5" w:rsidP="00DC46C5">
      <w:pPr>
        <w:jc w:val="center"/>
        <w:outlineLvl w:val="0"/>
        <w:rPr>
          <w:b/>
          <w:sz w:val="28"/>
        </w:rPr>
      </w:pPr>
      <w:r w:rsidRPr="00DC46C5">
        <w:rPr>
          <w:b/>
          <w:sz w:val="28"/>
        </w:rPr>
        <w:t xml:space="preserve">к проекту закона Камчатского края </w:t>
      </w:r>
    </w:p>
    <w:p w:rsidR="00DC46C5" w:rsidRPr="00DC46C5" w:rsidRDefault="00DC46C5" w:rsidP="00DC46C5">
      <w:pPr>
        <w:jc w:val="center"/>
        <w:outlineLvl w:val="0"/>
        <w:rPr>
          <w:b/>
          <w:sz w:val="28"/>
        </w:rPr>
      </w:pPr>
      <w:r w:rsidRPr="00DC46C5">
        <w:rPr>
          <w:b/>
          <w:sz w:val="28"/>
        </w:rPr>
        <w:t>«О дополнительной мере социальной поддержки семей, имеющих детей, в части погашения обязательств по ипотечным жилищным кредитам (займам)»</w:t>
      </w:r>
    </w:p>
    <w:p w:rsidR="00DC46C5" w:rsidRDefault="00DC46C5" w:rsidP="00DC46C5">
      <w:pPr>
        <w:jc w:val="center"/>
        <w:outlineLvl w:val="0"/>
        <w:rPr>
          <w:sz w:val="28"/>
        </w:rPr>
      </w:pP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Проект закона Камчатского края «О дополнительной мере социальной поддержки семей, имеющих детей, в части погашения обязательств по ипотечным жилищным кредитам (займам)» (далее – законопроект) разработан во исполнение подпункта 30 пункта 1 перечня поручений Президента Российской Федерации по итогам рабочей поездки Президента Российской Федерации в Чукотский автономный округ и Хабаровский край 10-11 января 2024 года от 18 февраля </w:t>
      </w:r>
      <w:r>
        <w:br/>
      </w:r>
      <w:r>
        <w:rPr>
          <w:sz w:val="28"/>
        </w:rPr>
        <w:t>2024 года № Пр-293 и в соответствии с перечнем поручений Правительства Российской Федерации от 26 февраля 2024 года № ЮТ-П47-5616.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Согласно указанным перечням поручений с 1 июля 2024 года в отдельных субъектах Российской Федерации, входящих в Дальневосточный федеральный округ (далее – субъекты РФ), включая Камчатский край, будет распространен пилотный проект, реализуемый в настоящее время в Приморском крае, предусматривающий предоставление государственной поддержки семьям с детьми в виде полного или частичного погашения обязательств по ипотечному жилищному кредиту (займу) гражданина в размере его задолженности, но </w:t>
      </w:r>
      <w:r>
        <w:br/>
      </w:r>
      <w:r>
        <w:rPr>
          <w:sz w:val="28"/>
        </w:rPr>
        <w:t>не более 1 000 000,0 рублей, при рождении третьего ребенка и последующих детей в период с 1 января 2024 года по 31 декабря 2026 года.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На федеральном уровне вопросы предоставления государственной поддержки в части </w:t>
      </w:r>
      <w:r>
        <w:rPr>
          <w:sz w:val="28"/>
          <w:highlight w:val="white"/>
        </w:rPr>
        <w:t>погашения обязательств по ипотечным жилищным кредитам (займам)</w:t>
      </w:r>
      <w:r>
        <w:rPr>
          <w:sz w:val="28"/>
        </w:rPr>
        <w:t xml:space="preserve"> регулируются: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>-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«Об актах гражданского состояния» (далее – Федеральный закон № 157-ФЗ);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-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 (далее – постановление </w:t>
      </w:r>
      <w:r>
        <w:br/>
      </w:r>
      <w:r>
        <w:rPr>
          <w:sz w:val="28"/>
        </w:rPr>
        <w:t>№ 999);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- постановлением Правительства Российской Федерации от 07.09.2019 № 1170 «Об утверждении Правил предоставления субсидий акционерному обществу «ДОМ.РФ»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</w:t>
      </w:r>
      <w:r>
        <w:rPr>
          <w:sz w:val="28"/>
        </w:rPr>
        <w:lastRenderedPageBreak/>
        <w:t>жилищным кредитам (займам) и Положения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(займам)» (далее – постановление № 1170);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>-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постановление № 1710).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Государственной Думой Российской Федерации принят проект федерального закона № 611255-8 «О внесении изменений в отдельные законодательные акты Российской Федерации и признании утратившим силу пункта 3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части 4 статьи 2 Федерального закона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которым право на меры государственной поддержки для погашения обязательств по ипотечным жилищным кредитам (займам) распространены на граждан у которых родился третий ребенок или последующие дети в период с 1 января 2019 года по 31 декабря 2030 года.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Также подготовлен проект постановления Правительства Российской Федерации «О внесении изменений в постановление Правительства Российской Федерации от 30 декабря 2017 г. № 1710», которым предлагается изложить в новой редакции приложение 23, утвердив Правила предоставления субсидий из федерального бюджета бюджетам субъектов Российской Федерации, входящих в состав Дальневосточного федерального округа, в целях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расходных обязательств субъектов Российской Федерации, входящих в состав Дальневосточного федерального округа, связанных с увеличением размера государственной поддержки семьям, имеющим детей, при рождении третьего ребенка или последующих детей с 1 января 2024 г. по 31 декабря 2026 г., проживающим на территории субъектов Российской Федерации, входящих в состав Дальневосточного федерального округа, в части погашения обязательств по ипотечным жилищным кредитам (займам) с 450 тысяч рублей.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Согласно данным Правилам, субсидия предоставляется при выполнении следующих условий:</w:t>
      </w:r>
    </w:p>
    <w:p w:rsidR="00DC46C5" w:rsidRDefault="00DC46C5" w:rsidP="00DC46C5">
      <w:pPr>
        <w:tabs>
          <w:tab w:val="center" w:pos="4536"/>
          <w:tab w:val="right" w:pos="9072"/>
        </w:tabs>
        <w:ind w:firstLine="709"/>
        <w:jc w:val="both"/>
        <w:rPr>
          <w:sz w:val="28"/>
        </w:rPr>
      </w:pPr>
      <w:r>
        <w:rPr>
          <w:sz w:val="28"/>
        </w:rPr>
        <w:t xml:space="preserve">а) наличие нормативного правового акта субъекта Российской Федерации, утверждающего перечень мероприятий (результатов) при реализации которых возникают расходные обязательства субъекта Российской Федерации, в целях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которых предоставляется субсидия;</w:t>
      </w:r>
    </w:p>
    <w:p w:rsidR="00DC46C5" w:rsidRDefault="00DC46C5" w:rsidP="00DC46C5">
      <w:pPr>
        <w:tabs>
          <w:tab w:val="center" w:pos="4536"/>
          <w:tab w:val="right" w:pos="9072"/>
        </w:tabs>
        <w:ind w:firstLine="709"/>
        <w:jc w:val="both"/>
        <w:rPr>
          <w:sz w:val="28"/>
        </w:rPr>
      </w:pPr>
      <w:r>
        <w:rPr>
          <w:sz w:val="28"/>
        </w:rPr>
        <w:t xml:space="preserve">б) наличие в бюджете субъекта Российской Федерации бюджетных ассигнований на исполнение расходных обязательств субъекта Российской Федерации, в целях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которых предоставляется субсидия;</w:t>
      </w:r>
    </w:p>
    <w:p w:rsidR="00DC46C5" w:rsidRDefault="00DC46C5" w:rsidP="00DC46C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в) заключение между Министерством Российской Федерации по развитию Дальнего Востока и Арктики и высшим исполнительным органом государственной власти субъекта Российской Федерации соглашения о предоставлении из федерального бюджета бюджету субъекта Российской Федерации субсидии (далее – соглашение) в соответствии с пунктом 10 Правил формирования, предоставления и распределения субсидий из федерального бюджета бюджетам субъектов Российской Федерации, утвержденных постановлением № 999 (далее – Правила формирования, предоставления и распределения субсидий).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Таким образом, законопроектом предлагается установить дополнительную меру социальной поддержки семей, имеющих детей, для погашения обязательств</w:t>
      </w:r>
      <w:r>
        <w:rPr>
          <w:sz w:val="28"/>
          <w:highlight w:val="white"/>
        </w:rPr>
        <w:t xml:space="preserve"> по ипотечным жилищным кредитам (займам) в Камчатском крае.</w:t>
      </w:r>
    </w:p>
    <w:p w:rsidR="00DC46C5" w:rsidRDefault="00DC46C5" w:rsidP="00DC46C5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Заключением Губернатором Камчатского края от 05.06.2024 № 01-03-37-92 поддержано принятие законопроекта «О социальной поддержке семей, имеющих детей, в части погашения обязательств по ипотечным жилищным кредитам (займам) в Камчатском крае». Необходимо отметить, что наименование законопроекта после получения указанного заключения было скорректировано.</w:t>
      </w:r>
    </w:p>
    <w:p w:rsidR="00DC46C5" w:rsidRDefault="00DC46C5" w:rsidP="00DC46C5">
      <w:pPr>
        <w:pStyle w:val="af0"/>
        <w:spacing w:after="0" w:line="240" w:lineRule="auto"/>
        <w:ind w:firstLine="709"/>
        <w:jc w:val="both"/>
        <w:rPr>
          <w:sz w:val="28"/>
        </w:rPr>
      </w:pPr>
      <w:r>
        <w:rPr>
          <w:spacing w:val="2"/>
          <w:sz w:val="28"/>
        </w:rPr>
        <w:t>Законопроект не подлежит оценке регулирующего воздействия в соответствии с постановлением Правительства Камчатского края от 28.09.2022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pacing w:val="2"/>
          <w:sz w:val="28"/>
        </w:rPr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DC46C5" w:rsidRDefault="00DC46C5">
      <w:pPr>
        <w:jc w:val="both"/>
        <w:rPr>
          <w:sz w:val="28"/>
        </w:rPr>
      </w:pPr>
    </w:p>
    <w:p w:rsidR="00237038" w:rsidRDefault="00237038">
      <w:pPr>
        <w:jc w:val="both"/>
        <w:rPr>
          <w:sz w:val="28"/>
        </w:rPr>
      </w:pPr>
    </w:p>
    <w:p w:rsidR="00237038" w:rsidRDefault="00237038">
      <w:pPr>
        <w:jc w:val="both"/>
        <w:rPr>
          <w:sz w:val="28"/>
        </w:rPr>
      </w:pPr>
    </w:p>
    <w:p w:rsidR="00237038" w:rsidRPr="00237038" w:rsidRDefault="00237038" w:rsidP="00237038">
      <w:pPr>
        <w:ind w:right="-143"/>
        <w:jc w:val="center"/>
        <w:rPr>
          <w:b/>
          <w:sz w:val="28"/>
        </w:rPr>
      </w:pPr>
      <w:r w:rsidRPr="00237038">
        <w:rPr>
          <w:b/>
          <w:sz w:val="28"/>
        </w:rPr>
        <w:t>Финансово-экономическое обоснование</w:t>
      </w:r>
    </w:p>
    <w:p w:rsidR="00237038" w:rsidRPr="00237038" w:rsidRDefault="00237038" w:rsidP="00237038">
      <w:pPr>
        <w:ind w:right="-143"/>
        <w:jc w:val="center"/>
        <w:outlineLvl w:val="0"/>
        <w:rPr>
          <w:b/>
          <w:sz w:val="28"/>
        </w:rPr>
      </w:pPr>
      <w:r w:rsidRPr="00237038">
        <w:rPr>
          <w:b/>
          <w:sz w:val="28"/>
        </w:rPr>
        <w:t>к проекту закона Камчатского края «О дополнительной мере социальной поддержки семей, имеющих детей, в части погашения обязательств по ипотечным жилищным кредитам (займам)»</w:t>
      </w:r>
    </w:p>
    <w:p w:rsidR="00237038" w:rsidRDefault="00237038" w:rsidP="00237038">
      <w:pPr>
        <w:jc w:val="center"/>
        <w:rPr>
          <w:sz w:val="28"/>
        </w:rPr>
      </w:pP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>Принятие закона Камчатского края «О дополнительной мере социальной поддержки семей, имеющих детей, в части погашения обязательств по ипотечным жилищным кредитам (займам)»</w:t>
      </w:r>
      <w:r>
        <w:rPr>
          <w:spacing w:val="2"/>
          <w:sz w:val="28"/>
        </w:rPr>
        <w:t xml:space="preserve"> (далее – законопроект</w:t>
      </w:r>
      <w:r>
        <w:rPr>
          <w:sz w:val="28"/>
        </w:rPr>
        <w:t xml:space="preserve">) потребует выделения </w:t>
      </w:r>
      <w:r>
        <w:br/>
      </w:r>
      <w:r>
        <w:rPr>
          <w:sz w:val="28"/>
        </w:rPr>
        <w:t>в 2024 году дополнительного финансирования из краевого бюджета.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положений постановления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</w:t>
      </w:r>
      <w:r>
        <w:rPr>
          <w:sz w:val="28"/>
        </w:rPr>
        <w:lastRenderedPageBreak/>
        <w:t>Федерации» (далее – постановление от 30.12.2017 № 1710) с 1 января 2023 года в Приморском крае реализуется пилотный проект, в соответствии с которым семьям, в которых родился третий или последующий ребенок, предоставляется государственная социальная поддержка на полное или частичное погашение обязательств по ипотечным жилищным кредитам (займам) с 450 тысяч рублей до 1 миллиона рублей (далее – субсидия) в рамках реализации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услуг».</w:t>
      </w:r>
    </w:p>
    <w:p w:rsidR="00237038" w:rsidRDefault="00237038" w:rsidP="0023703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подпунктом 30 пункта 1 перечня поручений Президента Российской Федерации по итогам рабочей поездки Президента Российской Федерации в Чукотский автономный округ и Хабаровский край 10-11 января </w:t>
      </w:r>
      <w:r>
        <w:br/>
      </w:r>
      <w:r>
        <w:rPr>
          <w:sz w:val="28"/>
        </w:rPr>
        <w:t xml:space="preserve">2024 года от 18 февраля 2024 года № Пр-293 и перечнем поручений Правительства Российской Федерации от 26 февраля 2024 года № ЮТ-П47-5616 Камчатский край включен в число регионов Дальневосточного федерального округа, в которых </w:t>
      </w:r>
      <w:r>
        <w:br/>
      </w:r>
      <w:r>
        <w:rPr>
          <w:sz w:val="28"/>
        </w:rPr>
        <w:t>с 1 июля 2024 года будет реализован данный пилотный проект.</w:t>
      </w:r>
    </w:p>
    <w:p w:rsidR="00237038" w:rsidRDefault="00237038" w:rsidP="0023703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Данные денежные средства будут направляться кредитной организации, в которой семья оформила кредит через акционерное общество «ДОМ.РФ» (далее — «ДОМ.РФ») в следующем порядке: </w:t>
      </w:r>
    </w:p>
    <w:p w:rsidR="00237038" w:rsidRDefault="00237038" w:rsidP="0023703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- 450,0 тыс. рублей средства федерального бюджета, доведенные «ДОМ.РФ» в соответствии с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Федерального закона «Об актах гражданского состояния»;</w:t>
      </w:r>
    </w:p>
    <w:p w:rsidR="00237038" w:rsidRDefault="00237038" w:rsidP="0023703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- 550,0 тыс. рублей средства субсидии из бюджета Камчатского края, предоставляемой «ДОМ.РФ» в соответствии с соглашением, заключенным между акционерным обществом и Правительством Камчатского края. </w:t>
      </w:r>
    </w:p>
    <w:p w:rsidR="00237038" w:rsidRDefault="00237038" w:rsidP="0023703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Объем указанной субсидии формируется на условиях 95%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из федерального бюджета, обязательным условием предоставления которого является наличие в бюджете Камчатского края бюджетных ассигнований на исполнение расходных обязательств края по предоставлению государственной социальной поддержки, на полное или частичное погашение обязательств по ипотечному жилищному кредиту.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>В соответствии с действующей, в настоящее время, редакцией приложения 23 к постановлению от 30.12.2017 № 1710 размер субсидии (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>) определяется по формуле:</w:t>
      </w:r>
    </w:p>
    <w:p w:rsidR="00237038" w:rsidRDefault="00237038" w:rsidP="00237038">
      <w:pPr>
        <w:ind w:firstLine="709"/>
        <w:jc w:val="center"/>
        <w:rPr>
          <w:sz w:val="28"/>
        </w:rPr>
      </w:pP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= (</w:t>
      </w:r>
      <w:proofErr w:type="spellStart"/>
      <w:r>
        <w:rPr>
          <w:sz w:val="28"/>
        </w:rPr>
        <w:t>N</w:t>
      </w:r>
      <w:proofErr w:type="gramStart"/>
      <w:r>
        <w:rPr>
          <w:sz w:val="28"/>
          <w:vertAlign w:val="subscript"/>
        </w:rPr>
        <w:t>ф.рождений</w:t>
      </w:r>
      <w:proofErr w:type="spellEnd"/>
      <w:proofErr w:type="gramEnd"/>
      <w:r>
        <w:rPr>
          <w:sz w:val="28"/>
        </w:rPr>
        <w:t xml:space="preserve"> х 0,15 + </w:t>
      </w:r>
      <w:proofErr w:type="spellStart"/>
      <w:r>
        <w:rPr>
          <w:sz w:val="28"/>
        </w:rPr>
        <w:t>N</w:t>
      </w:r>
      <w:r>
        <w:rPr>
          <w:sz w:val="28"/>
          <w:vertAlign w:val="subscript"/>
        </w:rPr>
        <w:t>п.рождений</w:t>
      </w:r>
      <w:proofErr w:type="spellEnd"/>
      <w:r>
        <w:rPr>
          <w:sz w:val="28"/>
        </w:rPr>
        <w:t xml:space="preserve">) х 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ср</w:t>
      </w:r>
      <w:proofErr w:type="spellEnd"/>
      <w:r>
        <w:rPr>
          <w:sz w:val="28"/>
          <w:vertAlign w:val="subscript"/>
        </w:rPr>
        <w:t>.</w:t>
      </w:r>
      <w:r>
        <w:rPr>
          <w:sz w:val="28"/>
        </w:rPr>
        <w:t xml:space="preserve"> х У, 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237038" w:rsidRDefault="00237038" w:rsidP="0023703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N</w:t>
      </w:r>
      <w:proofErr w:type="gramStart"/>
      <w:r>
        <w:rPr>
          <w:sz w:val="28"/>
          <w:vertAlign w:val="subscript"/>
        </w:rPr>
        <w:t>ф.рождений</w:t>
      </w:r>
      <w:proofErr w:type="spellEnd"/>
      <w:proofErr w:type="gramEnd"/>
      <w:r>
        <w:rPr>
          <w:sz w:val="28"/>
        </w:rPr>
        <w:t xml:space="preserve"> – среднее количество рождений третьего ребенка или последующих детей за предыдущие 3 года;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>0,15 - предполагаемый процент семей, имеющих право на установление социальной поддержки в виде выплаты (15 процентов);</w:t>
      </w:r>
    </w:p>
    <w:p w:rsidR="00237038" w:rsidRDefault="00237038" w:rsidP="0023703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N</w:t>
      </w:r>
      <w:proofErr w:type="gramStart"/>
      <w:r>
        <w:rPr>
          <w:sz w:val="28"/>
          <w:vertAlign w:val="subscript"/>
        </w:rPr>
        <w:t>п.рождений</w:t>
      </w:r>
      <w:proofErr w:type="spellEnd"/>
      <w:proofErr w:type="gramEnd"/>
      <w:r>
        <w:rPr>
          <w:sz w:val="28"/>
        </w:rPr>
        <w:t xml:space="preserve"> – потенциал рождений третьего ребенка или последующих детей в 2024 и 2025 годах соответственно в семьях, которые могут обратиться за выплатой;</w:t>
      </w:r>
    </w:p>
    <w:p w:rsidR="00237038" w:rsidRDefault="00237038" w:rsidP="0023703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ср</w:t>
      </w:r>
      <w:proofErr w:type="spellEnd"/>
      <w:r>
        <w:rPr>
          <w:sz w:val="28"/>
          <w:vertAlign w:val="subscript"/>
        </w:rPr>
        <w:t>.</w:t>
      </w:r>
      <w:r>
        <w:rPr>
          <w:sz w:val="28"/>
        </w:rPr>
        <w:t xml:space="preserve"> – размер выплаты;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 xml:space="preserve">У – предельный уровень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расходного обязательства субъекта РФ из федерального бюджета на очередной финансовый год и плановый период, утверждаемый Правительством Российской Федерации в соответствии с пунктом 13 Правил формирования, предоставления и распределения субсидий, утвержденных Постановление Правительства РФ от 30.09.2014 № 999 «О формировании, предоставлении и распределении субсидий из федерального бюджета бюджетам субъектов Российской Федерации».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статистическим данным Министерства здравоохранения Камчатского края, число детей, родившихся у женщин третьими и последующими, составляет: </w:t>
      </w:r>
      <w:r>
        <w:br/>
      </w:r>
      <w:r>
        <w:rPr>
          <w:sz w:val="28"/>
        </w:rPr>
        <w:t>852 ребенка в 2021 году, 787 детей в 2022 году и 843 ребенка в 2023 году. Таким образом, среднее количество рождений третьего ребенка или последующих детей за предыдущие 3 года составляет 828 детей.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 xml:space="preserve">Число детей, родившихся у женщин третьими и последующими, в 2024 и </w:t>
      </w:r>
      <w:r>
        <w:br/>
      </w:r>
      <w:r>
        <w:rPr>
          <w:sz w:val="28"/>
        </w:rPr>
        <w:t xml:space="preserve">2025 годах, </w:t>
      </w:r>
      <w:proofErr w:type="spellStart"/>
      <w:r>
        <w:rPr>
          <w:sz w:val="28"/>
        </w:rPr>
        <w:t>прогнозно</w:t>
      </w:r>
      <w:proofErr w:type="spellEnd"/>
      <w:r>
        <w:rPr>
          <w:sz w:val="28"/>
        </w:rPr>
        <w:t xml:space="preserve"> составляет соответственно 865 и 831 соответственно за выплатой могут обратиться . Исходя норматива семей, которые могут обратиться за выплатой (15%) в 2024 году данный показатель составит 130 семей.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>Размер выплаты, предоставляемый в соответствии с законодательством Камчатского края, составляет 550 000,0 рублей.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 xml:space="preserve">Предельный уровень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из федерального бюджета расходного обязательства Камчатского края на 2024 год составляет 95%, </w:t>
      </w:r>
      <w:proofErr w:type="gramStart"/>
      <w:r>
        <w:rPr>
          <w:sz w:val="28"/>
        </w:rPr>
        <w:t>следовательно</w:t>
      </w:r>
      <w:proofErr w:type="gramEnd"/>
      <w:r>
        <w:rPr>
          <w:sz w:val="28"/>
        </w:rPr>
        <w:t>:</w:t>
      </w:r>
    </w:p>
    <w:p w:rsidR="00237038" w:rsidRDefault="00237038" w:rsidP="0023703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= (828 х 0,15 + 130) х 550 000,0 +95% = 132 715 000,0 рублей</w:t>
      </w:r>
    </w:p>
    <w:p w:rsidR="00237038" w:rsidRDefault="00237038" w:rsidP="00237038">
      <w:pPr>
        <w:ind w:firstLine="709"/>
        <w:jc w:val="both"/>
        <w:rPr>
          <w:sz w:val="28"/>
        </w:rPr>
      </w:pP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>Соответственно расходы бюджета Камчатского края в 2024 году составят:</w:t>
      </w:r>
    </w:p>
    <w:p w:rsidR="00237038" w:rsidRDefault="00237038" w:rsidP="0023703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= (828 х 0,15 + 130) х 550 000,0 +5% = 6 985 000,0 рублей</w:t>
      </w:r>
    </w:p>
    <w:p w:rsidR="00237038" w:rsidRDefault="00237038" w:rsidP="00237038">
      <w:pPr>
        <w:ind w:firstLine="709"/>
        <w:jc w:val="both"/>
        <w:rPr>
          <w:sz w:val="28"/>
        </w:rPr>
      </w:pP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по предварительной оценке, в 2024 году в Камчатском крае дополнительная мера социальной поддержки семей, имеющих детей, в части погашения обязательств по ипотечным жилищным кредитам (займам) будет предоставлена 254 семьям. На предоставление выплаты необходимы </w:t>
      </w:r>
      <w:r>
        <w:rPr>
          <w:sz w:val="28"/>
        </w:rPr>
        <w:lastRenderedPageBreak/>
        <w:t>бюджетные ассигнования в объеме 139 700 000,0 рублей, в том числе 132 715 000,0 рублей средств федерального бюджета и 6 985 000,0 рублей средств краевого бюджета.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>Реализацию законопроекта в 2024 году предлагается осуществить за счет средств резервного фонда Правительства Камчатского края.</w:t>
      </w:r>
    </w:p>
    <w:p w:rsidR="00237038" w:rsidRDefault="00237038" w:rsidP="00237038">
      <w:pPr>
        <w:ind w:firstLine="709"/>
        <w:jc w:val="both"/>
        <w:rPr>
          <w:sz w:val="28"/>
        </w:rPr>
      </w:pPr>
      <w:r>
        <w:rPr>
          <w:sz w:val="28"/>
        </w:rPr>
        <w:t>Реализацию законопроекта в 2025 и 2026 годах предлагается осуществить в рамках ассигнований, доведенных Министерству социального благополучия и семейной политики Камчатского края на предоставление мер социальной поддержки.</w:t>
      </w:r>
    </w:p>
    <w:p w:rsidR="00237038" w:rsidRDefault="00237038">
      <w:pPr>
        <w:jc w:val="both"/>
        <w:rPr>
          <w:sz w:val="28"/>
        </w:rPr>
      </w:pPr>
    </w:p>
    <w:p w:rsidR="00237038" w:rsidRDefault="00237038">
      <w:pPr>
        <w:jc w:val="both"/>
        <w:rPr>
          <w:sz w:val="28"/>
        </w:rPr>
      </w:pPr>
    </w:p>
    <w:p w:rsidR="00237038" w:rsidRDefault="00237038">
      <w:pPr>
        <w:jc w:val="both"/>
        <w:rPr>
          <w:sz w:val="28"/>
        </w:rPr>
      </w:pPr>
    </w:p>
    <w:p w:rsidR="00237038" w:rsidRPr="00237038" w:rsidRDefault="00237038" w:rsidP="00237038">
      <w:pPr>
        <w:jc w:val="center"/>
        <w:rPr>
          <w:b/>
          <w:sz w:val="28"/>
        </w:rPr>
      </w:pPr>
      <w:bookmarkStart w:id="1" w:name="_GoBack"/>
      <w:r w:rsidRPr="00237038">
        <w:rPr>
          <w:b/>
          <w:sz w:val="28"/>
        </w:rPr>
        <w:t xml:space="preserve">Перечень </w:t>
      </w:r>
    </w:p>
    <w:p w:rsidR="00237038" w:rsidRPr="00237038" w:rsidRDefault="00237038" w:rsidP="00237038">
      <w:pPr>
        <w:jc w:val="center"/>
        <w:rPr>
          <w:b/>
          <w:sz w:val="28"/>
        </w:rPr>
      </w:pPr>
      <w:r w:rsidRPr="00237038">
        <w:rPr>
          <w:b/>
          <w:sz w:val="28"/>
        </w:rPr>
        <w:t xml:space="preserve">законов и иных нормативных правовых актов Камчатского края, </w:t>
      </w:r>
    </w:p>
    <w:p w:rsidR="00237038" w:rsidRPr="00237038" w:rsidRDefault="00237038" w:rsidP="00237038">
      <w:pPr>
        <w:jc w:val="center"/>
        <w:rPr>
          <w:b/>
          <w:sz w:val="28"/>
        </w:rPr>
      </w:pPr>
      <w:r w:rsidRPr="00237038">
        <w:rPr>
          <w:b/>
          <w:sz w:val="28"/>
        </w:rPr>
        <w:t>подлежащих разработке и принятию в целях реализации закона Камчатского края, признанию утратившими силу, приостановлению, изменению в целях реализации закона Камчатского края «О дополнительной мере социальной поддержки семей, имеющих детей, в части погашения обязательств по ипотечным жилищным кредитам (займам)»</w:t>
      </w:r>
    </w:p>
    <w:bookmarkEnd w:id="1"/>
    <w:p w:rsidR="00237038" w:rsidRDefault="00237038" w:rsidP="00237038">
      <w:pPr>
        <w:jc w:val="center"/>
        <w:rPr>
          <w:sz w:val="28"/>
        </w:rPr>
      </w:pPr>
    </w:p>
    <w:p w:rsidR="00237038" w:rsidRDefault="00237038" w:rsidP="00237038">
      <w:pPr>
        <w:ind w:firstLine="708"/>
        <w:jc w:val="both"/>
        <w:rPr>
          <w:sz w:val="28"/>
        </w:rPr>
      </w:pPr>
      <w:r>
        <w:rPr>
          <w:sz w:val="28"/>
        </w:rPr>
        <w:t>Принятие закона Камчатского края «О дополнительной мере социальной поддержки семей, имеющих детей, в части погашения обязательств по ипотечным жилищным кредитам (займам)»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потребует разработки проекта постановления Правительства Камчатского края об утверждении порядка предоставления субсидии из краевого бюджета акционерному обществу «ДОМ.РФ» на возмещение расходов в связи с реализацией меры социальной поддержки семей, имеющих детей, в целях создания условий для погашения обязательств по ипотечным жилищным кредитам (займам).</w:t>
      </w:r>
    </w:p>
    <w:p w:rsidR="00237038" w:rsidRDefault="00237038" w:rsidP="00237038">
      <w:pPr>
        <w:ind w:firstLine="708"/>
        <w:jc w:val="both"/>
        <w:rPr>
          <w:sz w:val="28"/>
        </w:rPr>
      </w:pPr>
      <w:r>
        <w:rPr>
          <w:sz w:val="28"/>
        </w:rPr>
        <w:t>Признание утратившими силу, приостановление, изменение иных нормативных правовых актов Камчатского края не потребуется.</w:t>
      </w:r>
    </w:p>
    <w:p w:rsidR="00237038" w:rsidRDefault="00237038">
      <w:pPr>
        <w:jc w:val="both"/>
        <w:rPr>
          <w:sz w:val="28"/>
        </w:rPr>
      </w:pPr>
    </w:p>
    <w:sectPr w:rsidR="00237038">
      <w:headerReference w:type="default" r:id="rId11"/>
      <w:pgSz w:w="11908" w:h="16848"/>
      <w:pgMar w:top="1417" w:right="1417" w:bottom="1417" w:left="141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33" w:rsidRDefault="00237038">
      <w:r>
        <w:separator/>
      </w:r>
    </w:p>
  </w:endnote>
  <w:endnote w:type="continuationSeparator" w:id="0">
    <w:p w:rsidR="00FD2433" w:rsidRDefault="0023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Microsoft JhengHe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33" w:rsidRDefault="00237038">
      <w:r>
        <w:separator/>
      </w:r>
    </w:p>
  </w:footnote>
  <w:footnote w:type="continuationSeparator" w:id="0">
    <w:p w:rsidR="00FD2433" w:rsidRDefault="0023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33" w:rsidRDefault="0023703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</w:t>
    </w:r>
    <w:r>
      <w:fldChar w:fldCharType="end"/>
    </w:r>
  </w:p>
  <w:p w:rsidR="00FD2433" w:rsidRDefault="00FD24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52BEB"/>
    <w:multiLevelType w:val="hybridMultilevel"/>
    <w:tmpl w:val="18DAC1E6"/>
    <w:lvl w:ilvl="0" w:tplc="35960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94BD62">
      <w:start w:val="1"/>
      <w:numFmt w:val="lowerLetter"/>
      <w:lvlText w:val="%2."/>
      <w:lvlJc w:val="left"/>
      <w:pPr>
        <w:ind w:left="1789" w:hanging="360"/>
      </w:pPr>
    </w:lvl>
    <w:lvl w:ilvl="2" w:tplc="07BAE166">
      <w:start w:val="1"/>
      <w:numFmt w:val="lowerRoman"/>
      <w:lvlText w:val="%3."/>
      <w:lvlJc w:val="right"/>
      <w:pPr>
        <w:ind w:left="2509" w:hanging="180"/>
      </w:pPr>
    </w:lvl>
    <w:lvl w:ilvl="3" w:tplc="9D12264E">
      <w:start w:val="1"/>
      <w:numFmt w:val="decimal"/>
      <w:lvlText w:val="%4."/>
      <w:lvlJc w:val="left"/>
      <w:pPr>
        <w:ind w:left="3229" w:hanging="360"/>
      </w:pPr>
    </w:lvl>
    <w:lvl w:ilvl="4" w:tplc="EAA2DBB6">
      <w:start w:val="1"/>
      <w:numFmt w:val="lowerLetter"/>
      <w:lvlText w:val="%5."/>
      <w:lvlJc w:val="left"/>
      <w:pPr>
        <w:ind w:left="3949" w:hanging="360"/>
      </w:pPr>
    </w:lvl>
    <w:lvl w:ilvl="5" w:tplc="8B74893E">
      <w:start w:val="1"/>
      <w:numFmt w:val="lowerRoman"/>
      <w:lvlText w:val="%6."/>
      <w:lvlJc w:val="right"/>
      <w:pPr>
        <w:ind w:left="4669" w:hanging="180"/>
      </w:pPr>
    </w:lvl>
    <w:lvl w:ilvl="6" w:tplc="70B2FFB6">
      <w:start w:val="1"/>
      <w:numFmt w:val="decimal"/>
      <w:lvlText w:val="%7."/>
      <w:lvlJc w:val="left"/>
      <w:pPr>
        <w:ind w:left="5389" w:hanging="360"/>
      </w:pPr>
    </w:lvl>
    <w:lvl w:ilvl="7" w:tplc="AF0AC53A">
      <w:start w:val="1"/>
      <w:numFmt w:val="lowerLetter"/>
      <w:lvlText w:val="%8."/>
      <w:lvlJc w:val="left"/>
      <w:pPr>
        <w:ind w:left="6109" w:hanging="360"/>
      </w:pPr>
    </w:lvl>
    <w:lvl w:ilvl="8" w:tplc="B8925CC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33"/>
    <w:rsid w:val="00237038"/>
    <w:rsid w:val="00DC46C5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0C5E"/>
  <w15:docId w15:val="{BF6F417B-C575-4573-9001-A1FE6BCD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note text"/>
    <w:basedOn w:val="a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2">
    <w:name w:val="Знак сноски1"/>
    <w:basedOn w:val="21"/>
    <w:link w:val="a5"/>
    <w:rPr>
      <w:vertAlign w:val="superscript"/>
    </w:rPr>
  </w:style>
  <w:style w:type="character" w:styleId="a5">
    <w:name w:val="footnote reference"/>
    <w:basedOn w:val="a0"/>
    <w:link w:val="12"/>
    <w:rPr>
      <w:vertAlign w:val="superscript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pPr>
      <w:widowControl w:val="0"/>
    </w:pPr>
  </w:style>
  <w:style w:type="character" w:customStyle="1" w:styleId="a7">
    <w:name w:val="Содержимое таблицы"/>
    <w:basedOn w:val="1"/>
    <w:link w:val="a6"/>
    <w:rPr>
      <w:rFonts w:ascii="Times New Roman" w:hAnsi="Times New Roman"/>
      <w:sz w:val="24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"/>
    <w:link w:val="aa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rFonts w:ascii="Times New Roman" w:hAnsi="Times New Roman"/>
      <w:i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customStyle="1" w:styleId="Style9">
    <w:name w:val="_Style 9"/>
    <w:basedOn w:val="a"/>
    <w:next w:val="ad"/>
    <w:link w:val="Style90"/>
    <w:pPr>
      <w:jc w:val="center"/>
    </w:pPr>
    <w:rPr>
      <w:rFonts w:asciiTheme="minorHAnsi" w:hAnsiTheme="minorHAnsi"/>
      <w:b/>
      <w:sz w:val="28"/>
    </w:rPr>
  </w:style>
  <w:style w:type="character" w:customStyle="1" w:styleId="Style90">
    <w:name w:val="_Style 9"/>
    <w:basedOn w:val="1"/>
    <w:link w:val="Style9"/>
    <w:rPr>
      <w:rFonts w:asciiTheme="minorHAnsi" w:hAnsiTheme="minorHAnsi"/>
      <w:b/>
      <w:sz w:val="28"/>
    </w:rPr>
  </w:style>
  <w:style w:type="paragraph" w:customStyle="1" w:styleId="ae">
    <w:name w:val="Содержимое врезки"/>
    <w:basedOn w:val="a"/>
    <w:link w:val="af"/>
  </w:style>
  <w:style w:type="character" w:customStyle="1" w:styleId="af">
    <w:name w:val="Содержимое врезки"/>
    <w:basedOn w:val="1"/>
    <w:link w:val="ae"/>
    <w:rPr>
      <w:rFonts w:ascii="Times New Roman" w:hAnsi="Times New Roman"/>
      <w:sz w:val="24"/>
    </w:rPr>
  </w:style>
  <w:style w:type="paragraph" w:customStyle="1" w:styleId="26">
    <w:name w:val="Выделение2"/>
    <w:basedOn w:val="14"/>
    <w:link w:val="27"/>
    <w:rPr>
      <w:i/>
    </w:rPr>
  </w:style>
  <w:style w:type="character" w:customStyle="1" w:styleId="27">
    <w:name w:val="Выделение2"/>
    <w:basedOn w:val="15"/>
    <w:link w:val="26"/>
    <w:rPr>
      <w:i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styleId="ad">
    <w:name w:val="Title"/>
    <w:next w:val="af0"/>
    <w:link w:val="16"/>
    <w:uiPriority w:val="10"/>
    <w:qFormat/>
    <w:rPr>
      <w:rFonts w:asciiTheme="majorHAnsi" w:hAnsiTheme="majorHAnsi"/>
      <w:spacing w:val="-10"/>
      <w:sz w:val="56"/>
    </w:rPr>
  </w:style>
  <w:style w:type="character" w:customStyle="1" w:styleId="17">
    <w:name w:val="Заголовок1"/>
    <w:basedOn w:val="1"/>
    <w:rPr>
      <w:rFonts w:ascii="Open Sans" w:hAnsi="Open San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rFonts w:ascii="Times New Roman" w:hAnsi="Times New Roman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3">
    <w:name w:val="List"/>
    <w:basedOn w:val="Textbody"/>
    <w:link w:val="af4"/>
  </w:style>
  <w:style w:type="character" w:customStyle="1" w:styleId="af4">
    <w:name w:val="Список Знак"/>
    <w:basedOn w:val="Textbody0"/>
    <w:link w:val="af3"/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color w:val="000000"/>
      <w:spacing w:val="0"/>
      <w:sz w:val="24"/>
    </w:rPr>
  </w:style>
  <w:style w:type="paragraph" w:customStyle="1" w:styleId="1a">
    <w:name w:val="Верхний колонтитул1"/>
    <w:link w:val="1b"/>
  </w:style>
  <w:style w:type="character" w:customStyle="1" w:styleId="1b">
    <w:name w:val="Верхний колонтитул1"/>
    <w:link w:val="1a"/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5">
    <w:name w:val="index heading"/>
    <w:basedOn w:val="a"/>
    <w:link w:val="af6"/>
  </w:style>
  <w:style w:type="character" w:customStyle="1" w:styleId="af6">
    <w:name w:val="Указатель Знак"/>
    <w:basedOn w:val="1"/>
    <w:link w:val="af5"/>
    <w:rPr>
      <w:rFonts w:ascii="Times New Roman" w:hAnsi="Times New Roman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color w:val="000000"/>
      <w:spacing w:val="0"/>
      <w:sz w:val="26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c">
    <w:name w:val="Гиперссылка1"/>
    <w:basedOn w:val="14"/>
    <w:link w:val="1d"/>
    <w:rPr>
      <w:color w:val="0000FF"/>
      <w:u w:val="single"/>
    </w:rPr>
  </w:style>
  <w:style w:type="character" w:customStyle="1" w:styleId="1d">
    <w:name w:val="Гиперссылка1"/>
    <w:basedOn w:val="15"/>
    <w:link w:val="1c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80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80"/>
      <w:u w:val="single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rFonts w:ascii="Times New Roman" w:hAnsi="Times New Roman"/>
      <w:i/>
      <w:sz w:val="24"/>
    </w:rPr>
  </w:style>
  <w:style w:type="paragraph" w:customStyle="1" w:styleId="af9">
    <w:name w:val="Заголовок Знак"/>
    <w:basedOn w:val="14"/>
    <w:link w:val="afa"/>
    <w:rPr>
      <w:rFonts w:asciiTheme="majorHAnsi" w:hAnsiTheme="majorHAnsi"/>
      <w:spacing w:val="-10"/>
      <w:sz w:val="56"/>
    </w:rPr>
  </w:style>
  <w:style w:type="character" w:customStyle="1" w:styleId="afa">
    <w:name w:val="Заголовок Знак"/>
    <w:basedOn w:val="15"/>
    <w:link w:val="af9"/>
    <w:rPr>
      <w:rFonts w:asciiTheme="majorHAnsi" w:hAnsiTheme="majorHAnsi"/>
      <w:spacing w:val="-10"/>
      <w:sz w:val="56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Internetlink1">
    <w:name w:val="Internet link"/>
    <w:basedOn w:val="14"/>
    <w:link w:val="Internetlink2"/>
    <w:rPr>
      <w:color w:val="0000FF"/>
      <w:u w:val="single"/>
    </w:rPr>
  </w:style>
  <w:style w:type="character" w:customStyle="1" w:styleId="Internetlink2">
    <w:name w:val="Internet link"/>
    <w:basedOn w:val="15"/>
    <w:link w:val="Internetlink1"/>
    <w:rPr>
      <w:color w:val="0000FF"/>
      <w:u w:val="single"/>
    </w:rPr>
  </w:style>
  <w:style w:type="paragraph" w:styleId="afb">
    <w:name w:val="List Paragraph"/>
    <w:basedOn w:val="a"/>
    <w:link w:val="afc"/>
    <w:pPr>
      <w:ind w:left="720"/>
      <w:contextualSpacing/>
    </w:pPr>
  </w:style>
  <w:style w:type="character" w:customStyle="1" w:styleId="afc">
    <w:name w:val="Абзац списка Знак"/>
    <w:basedOn w:val="1"/>
    <w:link w:val="afb"/>
    <w:rPr>
      <w:rFonts w:ascii="Times New Roman" w:hAnsi="Times New Roman"/>
      <w:sz w:val="24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d">
    <w:name w:val="table of figures"/>
    <w:basedOn w:val="a"/>
    <w:next w:val="a"/>
    <w:link w:val="afe"/>
  </w:style>
  <w:style w:type="character" w:customStyle="1" w:styleId="afe">
    <w:name w:val="Перечень рисунков Знак"/>
    <w:basedOn w:val="1"/>
    <w:link w:val="af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Обычный1"/>
    <w:link w:val="1f"/>
    <w:rPr>
      <w:rFonts w:ascii="Times New Roman" w:hAnsi="Times New Roman"/>
      <w:sz w:val="24"/>
    </w:rPr>
  </w:style>
  <w:style w:type="character" w:customStyle="1" w:styleId="1f">
    <w:name w:val="Обычный1"/>
    <w:link w:val="1e"/>
    <w:rPr>
      <w:rFonts w:ascii="Times New Roman" w:hAnsi="Times New Roman"/>
      <w:color w:val="000000"/>
      <w:spacing w:val="0"/>
      <w:sz w:val="24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28">
    <w:name w:val="Гиперссылка2"/>
    <w:link w:val="aff"/>
    <w:rPr>
      <w:color w:val="0000FF"/>
      <w:u w:val="single"/>
    </w:rPr>
  </w:style>
  <w:style w:type="character" w:styleId="aff">
    <w:name w:val="Hyperlink"/>
    <w:link w:val="2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1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aptionChar">
    <w:name w:val="Caption Char"/>
    <w:basedOn w:val="aff0"/>
    <w:link w:val="CaptionChar0"/>
  </w:style>
  <w:style w:type="character" w:customStyle="1" w:styleId="CaptionChar0">
    <w:name w:val="Caption Char"/>
    <w:basedOn w:val="aff1"/>
    <w:link w:val="CaptionChar"/>
    <w:rPr>
      <w:rFonts w:ascii="Times New Roman" w:hAnsi="Times New Roman"/>
      <w:i/>
      <w:sz w:val="24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f2">
    <w:name w:val="Знак концевой сноски1"/>
    <w:basedOn w:val="21"/>
    <w:link w:val="aff2"/>
    <w:rPr>
      <w:vertAlign w:val="superscript"/>
    </w:rPr>
  </w:style>
  <w:style w:type="character" w:styleId="aff2">
    <w:name w:val="endnote reference"/>
    <w:basedOn w:val="a0"/>
    <w:link w:val="1f2"/>
    <w:rPr>
      <w:vertAlign w:val="superscript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3">
    <w:name w:val="No Spacing"/>
    <w:link w:val="aff4"/>
    <w:rPr>
      <w:sz w:val="22"/>
    </w:rPr>
  </w:style>
  <w:style w:type="character" w:customStyle="1" w:styleId="aff4">
    <w:name w:val="Без интервала Знак"/>
    <w:link w:val="aff3"/>
    <w:rPr>
      <w:sz w:val="22"/>
    </w:rPr>
  </w:style>
  <w:style w:type="paragraph" w:customStyle="1" w:styleId="s100">
    <w:name w:val="s_10"/>
    <w:basedOn w:val="14"/>
    <w:link w:val="s101"/>
  </w:style>
  <w:style w:type="character" w:customStyle="1" w:styleId="s101">
    <w:name w:val="s_10"/>
    <w:basedOn w:val="15"/>
    <w:link w:val="s100"/>
  </w:style>
  <w:style w:type="paragraph" w:styleId="af0">
    <w:name w:val="Body Text"/>
    <w:basedOn w:val="a"/>
    <w:link w:val="aff5"/>
    <w:pPr>
      <w:spacing w:after="140" w:line="276" w:lineRule="auto"/>
    </w:pPr>
  </w:style>
  <w:style w:type="character" w:customStyle="1" w:styleId="aff5">
    <w:name w:val="Основной текст Знак"/>
    <w:basedOn w:val="1"/>
    <w:link w:val="af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1f3">
    <w:name w:val="Название1"/>
    <w:basedOn w:val="1e"/>
    <w:link w:val="1f4"/>
    <w:rPr>
      <w:rFonts w:asciiTheme="majorHAnsi" w:hAnsiTheme="majorHAnsi"/>
      <w:spacing w:val="-10"/>
      <w:sz w:val="56"/>
    </w:rPr>
  </w:style>
  <w:style w:type="character" w:customStyle="1" w:styleId="1f4">
    <w:name w:val="Название1"/>
    <w:basedOn w:val="1f"/>
    <w:link w:val="1f3"/>
    <w:rPr>
      <w:rFonts w:asciiTheme="majorHAnsi" w:hAnsiTheme="majorHAnsi"/>
      <w:color w:val="000000"/>
      <w:spacing w:val="-10"/>
      <w:sz w:val="56"/>
    </w:rPr>
  </w:style>
  <w:style w:type="paragraph" w:customStyle="1" w:styleId="1f5">
    <w:name w:val="Выделение1"/>
    <w:basedOn w:val="14"/>
    <w:link w:val="1f6"/>
    <w:rPr>
      <w:i/>
    </w:rPr>
  </w:style>
  <w:style w:type="character" w:customStyle="1" w:styleId="1f6">
    <w:name w:val="Выделение1"/>
    <w:basedOn w:val="15"/>
    <w:link w:val="1f5"/>
    <w:rPr>
      <w:i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1f7">
    <w:name w:val="Список1"/>
    <w:basedOn w:val="af0"/>
    <w:link w:val="1f8"/>
  </w:style>
  <w:style w:type="character" w:customStyle="1" w:styleId="1f8">
    <w:name w:val="Список1"/>
    <w:basedOn w:val="aff5"/>
    <w:link w:val="1f7"/>
    <w:rPr>
      <w:rFonts w:ascii="Times New Roman" w:hAnsi="Times New Roman"/>
      <w:color w:val="000000"/>
      <w:spacing w:val="0"/>
      <w:sz w:val="24"/>
    </w:rPr>
  </w:style>
  <w:style w:type="paragraph" w:styleId="aff0">
    <w:name w:val="caption"/>
    <w:basedOn w:val="a"/>
    <w:link w:val="aff1"/>
    <w:pPr>
      <w:spacing w:before="120" w:after="120"/>
    </w:pPr>
    <w:rPr>
      <w:i/>
    </w:rPr>
  </w:style>
  <w:style w:type="character" w:customStyle="1" w:styleId="aff1">
    <w:name w:val="Название объекта Знак"/>
    <w:basedOn w:val="1"/>
    <w:link w:val="aff0"/>
    <w:rPr>
      <w:rFonts w:ascii="Times New Roman" w:hAnsi="Times New Roman"/>
      <w:i/>
      <w:sz w:val="24"/>
    </w:rPr>
  </w:style>
  <w:style w:type="paragraph" w:styleId="aff6">
    <w:name w:val="Subtitle"/>
    <w:link w:val="aff7"/>
    <w:uiPriority w:val="11"/>
    <w:qFormat/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1f9">
    <w:name w:val="Название объекта1"/>
    <w:link w:val="1fa"/>
    <w:rPr>
      <w:i/>
      <w:sz w:val="24"/>
    </w:rPr>
  </w:style>
  <w:style w:type="character" w:customStyle="1" w:styleId="1fa">
    <w:name w:val="Название объекта1"/>
    <w:link w:val="1f9"/>
    <w:rPr>
      <w:i/>
      <w:sz w:val="24"/>
    </w:rPr>
  </w:style>
  <w:style w:type="paragraph" w:customStyle="1" w:styleId="aff8">
    <w:name w:val="Заголовок таблицы"/>
    <w:basedOn w:val="a6"/>
    <w:link w:val="aff9"/>
    <w:pPr>
      <w:jc w:val="center"/>
    </w:pPr>
    <w:rPr>
      <w:b/>
    </w:rPr>
  </w:style>
  <w:style w:type="character" w:customStyle="1" w:styleId="aff9">
    <w:name w:val="Заголовок таблицы"/>
    <w:basedOn w:val="a7"/>
    <w:link w:val="aff8"/>
    <w:rPr>
      <w:rFonts w:ascii="Times New Roman" w:hAnsi="Times New Roman"/>
      <w:b/>
      <w:sz w:val="24"/>
    </w:rPr>
  </w:style>
  <w:style w:type="paragraph" w:customStyle="1" w:styleId="21">
    <w:name w:val="Основной шрифт абзаца2"/>
  </w:style>
  <w:style w:type="character" w:customStyle="1" w:styleId="16">
    <w:name w:val="Заголовок Знак1"/>
    <w:link w:val="ad"/>
    <w:rPr>
      <w:rFonts w:asciiTheme="majorHAnsi" w:hAnsiTheme="majorHAnsi"/>
      <w:spacing w:val="-10"/>
      <w:sz w:val="56"/>
    </w:rPr>
  </w:style>
  <w:style w:type="paragraph" w:styleId="affa">
    <w:name w:val="endnote text"/>
    <w:basedOn w:val="a"/>
    <w:link w:val="affb"/>
    <w:rPr>
      <w:sz w:val="20"/>
    </w:rPr>
  </w:style>
  <w:style w:type="character" w:customStyle="1" w:styleId="affb">
    <w:name w:val="Текст концевой сноски Знак"/>
    <w:basedOn w:val="1"/>
    <w:link w:val="affa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c">
    <w:name w:val="Верхний колонтитул Знак"/>
    <w:basedOn w:val="14"/>
    <w:link w:val="affd"/>
    <w:rPr>
      <w:rFonts w:ascii="Times New Roman" w:hAnsi="Times New Roman"/>
      <w:sz w:val="24"/>
    </w:rPr>
  </w:style>
  <w:style w:type="character" w:customStyle="1" w:styleId="affd">
    <w:name w:val="Верхний колонтитул Знак"/>
    <w:basedOn w:val="15"/>
    <w:link w:val="affc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e">
    <w:name w:val="Колонтитул"/>
    <w:basedOn w:val="a"/>
    <w:link w:val="afff"/>
  </w:style>
  <w:style w:type="character" w:customStyle="1" w:styleId="afff">
    <w:name w:val="Колонтитул"/>
    <w:basedOn w:val="1"/>
    <w:link w:val="affe"/>
    <w:rPr>
      <w:rFonts w:ascii="Times New Roman" w:hAnsi="Times New Roman"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54">
    <w:name w:val="Plain Table 5"/>
    <w:basedOn w:val="a1"/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1fb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43">
    <w:name w:val="Plain Table 4"/>
    <w:basedOn w:val="a1"/>
    <w:tblPr/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29">
    <w:name w:val="Plain Table 2"/>
    <w:basedOn w:val="a1"/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4">
    <w:name w:val="Plain Table 3"/>
    <w:basedOn w:val="a1"/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a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1">
    <w:name w:val="List Table 1 Light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1">
    <w:name w:val="List Table 1 Light - Accent 1"/>
    <w:basedOn w:val="a1"/>
    <w:tblPr/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2990</Words>
  <Characters>17045</Characters>
  <Application>Microsoft Office Word</Application>
  <DocSecurity>0</DocSecurity>
  <Lines>142</Lines>
  <Paragraphs>39</Paragraphs>
  <ScaleCrop>false</ScaleCrop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Крюкова Людмила Сергеевна</cp:lastModifiedBy>
  <cp:revision>7</cp:revision>
  <dcterms:created xsi:type="dcterms:W3CDTF">2024-06-11T01:02:00Z</dcterms:created>
  <dcterms:modified xsi:type="dcterms:W3CDTF">2024-06-13T22:29:00Z</dcterms:modified>
</cp:coreProperties>
</file>