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6B7" w:rsidRPr="001766B7" w:rsidRDefault="001766B7" w:rsidP="001766B7">
      <w:pPr>
        <w:shd w:val="clear" w:color="auto" w:fill="FFFFFF"/>
        <w:spacing w:after="360" w:line="240" w:lineRule="auto"/>
        <w:jc w:val="right"/>
        <w:rPr>
          <w:rFonts w:ascii="Arial" w:eastAsia="Times New Roman" w:hAnsi="Arial" w:cs="Arial"/>
          <w:sz w:val="23"/>
          <w:szCs w:val="23"/>
          <w:lang w:eastAsia="ru-RU"/>
        </w:rPr>
      </w:pPr>
      <w:r w:rsidRPr="001766B7">
        <w:rPr>
          <w:rFonts w:ascii="Arial" w:eastAsia="Times New Roman" w:hAnsi="Arial" w:cs="Arial"/>
          <w:sz w:val="23"/>
          <w:szCs w:val="23"/>
          <w:lang w:eastAsia="ru-RU"/>
        </w:rPr>
        <w:t>УТВЕРЖДЕН</w:t>
      </w:r>
    </w:p>
    <w:p w:rsidR="001766B7" w:rsidRPr="001766B7" w:rsidRDefault="001766B7" w:rsidP="001766B7">
      <w:pPr>
        <w:shd w:val="clear" w:color="auto" w:fill="FFFFFF"/>
        <w:spacing w:after="360" w:line="240" w:lineRule="auto"/>
        <w:jc w:val="right"/>
        <w:rPr>
          <w:rFonts w:ascii="Arial" w:eastAsia="Times New Roman" w:hAnsi="Arial" w:cs="Arial"/>
          <w:sz w:val="23"/>
          <w:szCs w:val="23"/>
          <w:lang w:eastAsia="ru-RU"/>
        </w:rPr>
      </w:pPr>
      <w:r w:rsidRPr="001766B7">
        <w:rPr>
          <w:rFonts w:ascii="Arial" w:eastAsia="Times New Roman" w:hAnsi="Arial" w:cs="Arial"/>
          <w:sz w:val="23"/>
          <w:szCs w:val="23"/>
          <w:lang w:eastAsia="ru-RU"/>
        </w:rPr>
        <w:t>Президиумом Законодательного Собрания Камчатского края</w:t>
      </w:r>
    </w:p>
    <w:p w:rsidR="001766B7" w:rsidRPr="001766B7" w:rsidRDefault="001766B7" w:rsidP="001766B7">
      <w:pPr>
        <w:shd w:val="clear" w:color="auto" w:fill="FFFFFF"/>
        <w:spacing w:after="360" w:line="240" w:lineRule="auto"/>
        <w:jc w:val="right"/>
        <w:rPr>
          <w:rFonts w:ascii="Arial" w:eastAsia="Times New Roman" w:hAnsi="Arial" w:cs="Arial"/>
          <w:sz w:val="23"/>
          <w:szCs w:val="23"/>
          <w:lang w:eastAsia="ru-RU"/>
        </w:rPr>
      </w:pPr>
      <w:r w:rsidRPr="001766B7">
        <w:rPr>
          <w:rFonts w:ascii="Arial" w:eastAsia="Times New Roman" w:hAnsi="Arial" w:cs="Arial"/>
          <w:sz w:val="23"/>
          <w:szCs w:val="23"/>
          <w:lang w:eastAsia="ru-RU"/>
        </w:rPr>
        <w:t>Протокол от «18» января 2022 г. № 12</w:t>
      </w:r>
    </w:p>
    <w:p w:rsidR="001766B7" w:rsidRPr="001766B7" w:rsidRDefault="001766B7" w:rsidP="001766B7">
      <w:pPr>
        <w:shd w:val="clear" w:color="auto" w:fill="FFFFFF"/>
        <w:spacing w:after="360" w:line="240" w:lineRule="auto"/>
        <w:jc w:val="right"/>
        <w:rPr>
          <w:rFonts w:ascii="Arial" w:eastAsia="Times New Roman" w:hAnsi="Arial" w:cs="Arial"/>
          <w:sz w:val="23"/>
          <w:szCs w:val="23"/>
          <w:lang w:eastAsia="ru-RU"/>
        </w:rPr>
      </w:pPr>
      <w:r w:rsidRPr="001766B7">
        <w:rPr>
          <w:rFonts w:ascii="Arial" w:eastAsia="Times New Roman" w:hAnsi="Arial" w:cs="Arial"/>
          <w:sz w:val="23"/>
          <w:szCs w:val="23"/>
          <w:lang w:eastAsia="ru-RU"/>
        </w:rPr>
        <w:t>Решение от «18» января 2022 г. № 816</w:t>
      </w:r>
    </w:p>
    <w:p w:rsidR="001766B7" w:rsidRPr="001766B7" w:rsidRDefault="001766B7" w:rsidP="001766B7">
      <w:pPr>
        <w:shd w:val="clear" w:color="auto" w:fill="FFFFFF"/>
        <w:spacing w:after="360" w:line="240" w:lineRule="auto"/>
        <w:rPr>
          <w:rFonts w:ascii="Arial" w:eastAsia="Times New Roman" w:hAnsi="Arial" w:cs="Arial"/>
          <w:sz w:val="23"/>
          <w:szCs w:val="23"/>
          <w:lang w:eastAsia="ru-RU"/>
        </w:rPr>
      </w:pPr>
      <w:r w:rsidRPr="001766B7">
        <w:rPr>
          <w:rFonts w:ascii="Arial" w:eastAsia="Times New Roman" w:hAnsi="Arial" w:cs="Arial"/>
          <w:sz w:val="23"/>
          <w:szCs w:val="23"/>
          <w:lang w:eastAsia="ru-RU"/>
        </w:rPr>
        <w:t> </w:t>
      </w:r>
    </w:p>
    <w:p w:rsidR="001766B7" w:rsidRPr="001766B7" w:rsidRDefault="001766B7" w:rsidP="001766B7">
      <w:pPr>
        <w:shd w:val="clear" w:color="auto" w:fill="FFFFFF"/>
        <w:spacing w:after="0" w:line="240" w:lineRule="auto"/>
        <w:rPr>
          <w:rFonts w:ascii="Arial" w:eastAsia="Times New Roman" w:hAnsi="Arial" w:cs="Arial"/>
          <w:sz w:val="23"/>
          <w:szCs w:val="23"/>
          <w:lang w:eastAsia="ru-RU"/>
        </w:rPr>
      </w:pPr>
      <w:r w:rsidRPr="001766B7">
        <w:rPr>
          <w:rFonts w:ascii="Arial" w:eastAsia="Times New Roman" w:hAnsi="Arial" w:cs="Arial"/>
          <w:b/>
          <w:bCs/>
          <w:sz w:val="23"/>
          <w:szCs w:val="23"/>
          <w:lang w:eastAsia="ru-RU"/>
        </w:rPr>
        <w:t>План мероприятий Законодательного Собрания Камчатского края (далее – Законодательное Собрание)</w:t>
      </w:r>
    </w:p>
    <w:p w:rsidR="001766B7" w:rsidRPr="001766B7" w:rsidRDefault="001766B7" w:rsidP="001766B7">
      <w:pPr>
        <w:shd w:val="clear" w:color="auto" w:fill="FFFFFF"/>
        <w:spacing w:after="0" w:line="240" w:lineRule="auto"/>
        <w:rPr>
          <w:rFonts w:ascii="Arial" w:eastAsia="Times New Roman" w:hAnsi="Arial" w:cs="Arial"/>
          <w:sz w:val="23"/>
          <w:szCs w:val="23"/>
          <w:lang w:eastAsia="ru-RU"/>
        </w:rPr>
      </w:pPr>
      <w:r w:rsidRPr="001766B7">
        <w:rPr>
          <w:rFonts w:ascii="Arial" w:eastAsia="Times New Roman" w:hAnsi="Arial" w:cs="Arial"/>
          <w:b/>
          <w:bCs/>
          <w:sz w:val="23"/>
          <w:szCs w:val="23"/>
          <w:lang w:eastAsia="ru-RU"/>
        </w:rPr>
        <w:t>по противодействию коррупции на 2022 – 2024 годы</w:t>
      </w:r>
    </w:p>
    <w:p w:rsidR="001766B7" w:rsidRPr="001766B7" w:rsidRDefault="001766B7" w:rsidP="001766B7">
      <w:pPr>
        <w:shd w:val="clear" w:color="auto" w:fill="FFFFFF"/>
        <w:spacing w:after="0" w:line="240" w:lineRule="auto"/>
        <w:rPr>
          <w:rFonts w:ascii="Arial" w:eastAsia="Times New Roman" w:hAnsi="Arial" w:cs="Arial"/>
          <w:sz w:val="23"/>
          <w:szCs w:val="23"/>
          <w:lang w:eastAsia="ru-RU"/>
        </w:rPr>
      </w:pPr>
      <w:r w:rsidRPr="001766B7">
        <w:rPr>
          <w:rFonts w:ascii="Arial" w:eastAsia="Times New Roman" w:hAnsi="Arial" w:cs="Arial"/>
          <w:b/>
          <w:bCs/>
          <w:sz w:val="23"/>
          <w:szCs w:val="23"/>
          <w:lang w:eastAsia="ru-RU"/>
        </w:rPr>
        <w:t> </w:t>
      </w:r>
    </w:p>
    <w:tbl>
      <w:tblPr>
        <w:tblW w:w="9348" w:type="dxa"/>
        <w:tblBorders>
          <w:top w:val="single" w:sz="6" w:space="0" w:color="00537A"/>
          <w:left w:val="single" w:sz="6" w:space="0" w:color="00537A"/>
          <w:bottom w:val="single" w:sz="6" w:space="0" w:color="00537A"/>
          <w:right w:val="single" w:sz="6" w:space="0" w:color="00537A"/>
        </w:tblBorders>
        <w:shd w:val="clear" w:color="auto" w:fill="FFFFFF"/>
        <w:tblLayout w:type="fixed"/>
        <w:tblCellMar>
          <w:top w:w="420" w:type="dxa"/>
          <w:left w:w="420" w:type="dxa"/>
          <w:bottom w:w="420" w:type="dxa"/>
          <w:right w:w="420" w:type="dxa"/>
        </w:tblCellMar>
        <w:tblLook w:val="04A0" w:firstRow="1" w:lastRow="0" w:firstColumn="1" w:lastColumn="0" w:noHBand="0" w:noVBand="1"/>
      </w:tblPr>
      <w:tblGrid>
        <w:gridCol w:w="882"/>
        <w:gridCol w:w="4355"/>
        <w:gridCol w:w="2410"/>
        <w:gridCol w:w="1701"/>
      </w:tblGrid>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i/>
                <w:iCs/>
                <w:sz w:val="18"/>
                <w:szCs w:val="18"/>
                <w:lang w:eastAsia="ru-RU"/>
              </w:rPr>
              <w:t>№ п/п</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i/>
                <w:iCs/>
                <w:sz w:val="18"/>
                <w:szCs w:val="18"/>
                <w:lang w:eastAsia="ru-RU"/>
              </w:rPr>
              <w:t>Наименование мероприятия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i/>
                <w:iCs/>
                <w:sz w:val="18"/>
                <w:szCs w:val="18"/>
                <w:lang w:eastAsia="ru-RU"/>
              </w:rPr>
              <w:t>Ответственные</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i/>
                <w:iCs/>
                <w:sz w:val="18"/>
                <w:szCs w:val="18"/>
                <w:lang w:eastAsia="ru-RU"/>
              </w:rPr>
              <w:t>Плановый срок</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1.</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нормативно-правовому обеспечению антикоррупционной деятельности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Осуществление мониторинга изменений федерального законодательства, судебной практики Верховного Суда Российской Федерации, законодательства Камчатского края по вопросам противодействия коррупции с целью совершенствования нормативной правовой базы Камчатского края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Главное управление по правовому обеспечению деятельности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Проведение в рамках мониторинга законов Камчатского края и нормативных правовых актов, принятых Законодательным Собранием, антикоррупционной экспертизы</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Главное управление по правовому обеспечению </w:t>
            </w:r>
            <w:proofErr w:type="spellStart"/>
            <w:r w:rsidRPr="001766B7">
              <w:rPr>
                <w:rFonts w:ascii="Arial" w:eastAsia="Times New Roman" w:hAnsi="Arial" w:cs="Arial"/>
                <w:sz w:val="18"/>
                <w:szCs w:val="18"/>
                <w:lang w:eastAsia="ru-RU"/>
              </w:rPr>
              <w:t>деятельностиЗаконодательного</w:t>
            </w:r>
            <w:proofErr w:type="spellEnd"/>
            <w:r w:rsidRPr="001766B7">
              <w:rPr>
                <w:rFonts w:ascii="Arial" w:eastAsia="Times New Roman" w:hAnsi="Arial" w:cs="Arial"/>
                <w:sz w:val="18"/>
                <w:szCs w:val="18"/>
                <w:lang w:eastAsia="ru-RU"/>
              </w:rPr>
              <w:t xml:space="preserve">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приведения нормативных правовых актов Законодательного Собрания в сфере противодействия коррупции в соответствие с федеральным законодательством</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Главное управление по правовому обеспечению деятельности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Проведение антикоррупционной экспертизы законодательных инициатив, поступивших на правовую экспертизу в Законодательное Собрание</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Главное управление по правовому обеспечению деятельности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в </w:t>
            </w:r>
            <w:proofErr w:type="spellStart"/>
            <w:r w:rsidRPr="001766B7">
              <w:rPr>
                <w:rFonts w:ascii="Arial" w:eastAsia="Times New Roman" w:hAnsi="Arial" w:cs="Arial"/>
                <w:sz w:val="18"/>
                <w:szCs w:val="18"/>
                <w:lang w:eastAsia="ru-RU"/>
              </w:rPr>
              <w:t>течениепланового</w:t>
            </w:r>
            <w:proofErr w:type="spellEnd"/>
            <w:r w:rsidRPr="001766B7">
              <w:rPr>
                <w:rFonts w:ascii="Arial" w:eastAsia="Times New Roman" w:hAnsi="Arial" w:cs="Arial"/>
                <w:sz w:val="18"/>
                <w:szCs w:val="18"/>
                <w:lang w:eastAsia="ru-RU"/>
              </w:rPr>
              <w:t xml:space="preserve">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1.5.</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Согласование проектов правовых актов Законодательного Собрания, связанных с вопросами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Главное управление по правовому обеспечению деятельности </w:t>
            </w:r>
            <w:r w:rsidRPr="001766B7">
              <w:rPr>
                <w:rFonts w:ascii="Arial" w:eastAsia="Times New Roman" w:hAnsi="Arial" w:cs="Arial"/>
                <w:sz w:val="18"/>
                <w:szCs w:val="18"/>
                <w:lang w:eastAsia="ru-RU"/>
              </w:rPr>
              <w:lastRenderedPageBreak/>
              <w:t>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1.6.</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Информационное взаимодействие с прокуратурой Камчатского края по вопросам противодействия коррупции и приведения отдельных законодательных актов Камчатского края в соответствие с федеральным законодательством</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Главное управление по правому обеспечению деятельности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1.7.</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Размещение проектов нормативных правовых актов на официальном сайте Законодательного Собрания в сети "Интернет" в течение 2-х рабочих дней со дня их поступления в Законодательное Собрание в целях проведения независимой антикоррупционной экспертизы</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Организационный отдел управления делами</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1.8.</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деятельности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Законодательном Собрании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 мере необходимости при наличии оснований для созыва комиссии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1.9.</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деятельности Комиссии по контролю за достоверностью сведений о доходах, расходах, об имуществе и обязательствах имущественного характера, представленных депутатами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 мере необходимости при наличии оснований для созыва комиссии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1.10.</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деятельности Комиссии по проведению</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конкурса на замещение вакантной должности</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государственной гражданской службы в Законодательном Собрании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 мере необходимости при наличии оснований для созыва комиссии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1.11.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деятельности аттестационной комиссии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 мере необходимости при наличии оснований для созыва комиссии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1.12.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Обеспечение исполнения депутатами Законодательного Собрания Камчатского края и гражданскими служащими порядка сообщения о получении подарка в связи с протокольными мероприятиями, служебными командировками и другими официальными </w:t>
            </w:r>
            <w:r w:rsidRPr="001766B7">
              <w:rPr>
                <w:rFonts w:ascii="Arial" w:eastAsia="Times New Roman" w:hAnsi="Arial" w:cs="Arial"/>
                <w:sz w:val="18"/>
                <w:szCs w:val="18"/>
                <w:lang w:eastAsia="ru-RU"/>
              </w:rPr>
              <w:lastRenderedPageBreak/>
              <w:t>мероприятиями, участие в которых связно с исполнением ими служебных (должностных) обязанностей, порядка сдачи и оценки подарка, реализации (выкупа) и зачисления средств, вырученных от его реализации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Отдел бухгалтерского учета и отчетности</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материально-технического обеспечения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1.13.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деятельности, предусмотренной положением о порядке предварительного уведомления Законодательного Собрания депутатами Законодательного Собрания об участии в управлении некоммерческими организациями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согласно установленному законодательством сроку</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1.14.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Установка специального программного обеспечения автоматизированной информационной системы «Справка БК» для подготовки сведений о доходах, расходах, об имуществе и обязательствах имущественного характера</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информационных систем и технологий</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 в период проведения декларационной кампании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2.</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реализации контрольных полномочий Законодательного Собрания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2.1.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Осуществление депутатского контроля за эффективным расходованием бюджетных средств</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Депутаты постоянных комитетов</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2.2.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Осуществление контроля за соблюдением установленного порядка распоряжения собственностью Камчатского края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2.3.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Рассмотрение актов Контрольно-счетной палаты Камчатского края по результатам контрольных мероприятий, участие в коллегиях Контрольно-счетной палаты Камчатского края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2.4.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Заслушивание отчета Контрольно-счетной палаты Камчатского края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Депутаты постоянных комитетов</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 на сессии Законодательного Собрания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2.5.</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Заслушивание руководителей профильных министерств Камчатского края, руководителей территориальных органов федеральных органов исполнительной власти в рамках заседаний постоянных </w:t>
            </w:r>
            <w:r w:rsidRPr="001766B7">
              <w:rPr>
                <w:rFonts w:ascii="Arial" w:eastAsia="Times New Roman" w:hAnsi="Arial" w:cs="Arial"/>
                <w:sz w:val="18"/>
                <w:szCs w:val="18"/>
                <w:lang w:eastAsia="ru-RU"/>
              </w:rPr>
              <w:lastRenderedPageBreak/>
              <w:t>комитетов, "правительственного часа", "федерального часа", в том числе по вопросам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Депутаты постоянных комитетов</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в течение планового периода согласно </w:t>
            </w:r>
            <w:r w:rsidRPr="001766B7">
              <w:rPr>
                <w:rFonts w:ascii="Arial" w:eastAsia="Times New Roman" w:hAnsi="Arial" w:cs="Arial"/>
                <w:sz w:val="18"/>
                <w:szCs w:val="18"/>
                <w:lang w:eastAsia="ru-RU"/>
              </w:rPr>
              <w:lastRenderedPageBreak/>
              <w:t>отдельному плану</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lastRenderedPageBreak/>
              <w:t>3.</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организации и проведению работы в сфере закупок для обеспечения государственных нужд</w:t>
            </w:r>
          </w:p>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Законодательного Собрания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3.1.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Подготовка и размещение плана-графика закупок товаров, работ и услуг для нужд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Управление делами</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ежегодно</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3.2.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Ведение работы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в сети "Интернет" на официальном сайте Единой информационной системы, на сайте электронной площадки (АО "ЕЭТП") по размещению информации об осуществлении закупок для обеспечения нужд Законодательного Собрания (подписание, исполнение, размещение отчетов по государственным контрактам)</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Управление делами</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3.3.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Проведение экспертизы документации по государственным закупкам</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Главное управление по правовому обеспечению деятельности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3.4.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Мониторинг изменений федеральных законов, иных нормативных актов Российской Федерации в сфере осуществления закупок товаров, работ и услуг и по его результатам внесение изменений в документацию об осуществлении закупок</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Управление делами</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3.5.</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участия государственных служащих аппарата Законодательного Собрания, в должностные обязанности которых входит осуществление деятельности в сфере закупок товаров, работ и услуг для обеспечения государственных нужд, в мероприятиях по профессиональному развитию</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Управление делами</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4.</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обеспечению соблюдения федерального и регионального законодательства</w:t>
            </w:r>
          </w:p>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в сфере государственной гражданской службы</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4.1.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Организация приема сведений о доходах, расходах, об имуществе и обязательствах имущественного характера, представляемых депутатами Законодательного Собрания, государственными гражданскими служащими аппарата Законодательного Собрания. Обеспечение контроля за своевременностью представления указанных сведений</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Комиссии по контролю за достоверностью сведений о доходах, расходах, имуществе и обязательствах имущественного характера, предоставленных депутатами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до 1 апреля</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до 30 апреля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Размещение на официальном сайте Законодательного Собрания в ИТС "Интернет" представленных депутатами Законодательного Собрания, государственными гражданскими служащими аппарата Законодательного Собрания сведений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сведений об источниках получения средств, за счет которых совершена сделка</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14 рабочих дней со дня истечения срока, установленного для подачи указанных сведений</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Анализ сведений о доходах, расходах, об имуществе и обязательствах имущественного характера, представленных депутатами Законодательного Собрания, государственными гражданскими служащими аппарата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до 1 июля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Организация проведения проверок достоверности и полноты сведений о доходах, расходах, об имуществе и обязательствах имущественного характера, представляемых депутатами Законодательного Собрания, государственными гражданскими служащими аппарата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 мере необходимости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4.5.</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Организация проведения проверок в соответствии с нормативными правовыми актами Российской Федерации и Камчатского края при назначении гражданина Российской Федерации на должность государственной гражданской службы в аппарат Законодательного Собрания и проверок достоверности и полноты сведений об адресах сайтов и (или) страниц сайтов в ИТС </w:t>
            </w:r>
            <w:r w:rsidRPr="001766B7">
              <w:rPr>
                <w:rFonts w:ascii="Arial" w:eastAsia="Times New Roman" w:hAnsi="Arial" w:cs="Arial"/>
                <w:sz w:val="18"/>
                <w:szCs w:val="18"/>
                <w:lang w:eastAsia="ru-RU"/>
              </w:rPr>
              <w:lastRenderedPageBreak/>
              <w:t>«Интернет», на которых гражданином, претендующим на замещение должности гражданской службы, гражданским служащим размещалась общедоступная информация, а также данные, позволяющие их идентифицировать</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к заседаниям конкурсной комиссии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4.6.</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Оценка знаний государственных гражданских служащих аппарата Законодательного Собрания законодательства о противодействии коррупции, в том числе об ограничениях, запретах, требованиях о предотвращении или об урегулировании конфликта интересов и обязанностях, установленных федеральным законодательством в целях противодействия коррупции при аттестации государственных гражданских служащих аппарата Законодательного Собрания и сдаче ими квалификационных экзаменов</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Аттестационная комиссия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соответствии с графиком проведения аттестации и квалификационных экзаменов</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4.7.</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Оценка знаний граждан, поступающих на государственную гражданскую службу Камчатского края в аппарат Законодательного Собрания, законодательства о противодействии коррупции, в том числе об ограничениях, запретах, требованиях о предотвращении или об урегулировании конфликта интересов и обязанностях, установленных федеральным законодательством в целях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Конкурсная комиссия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соответствии с датами проведения конкурсов</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4.8.</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Осуществление мероприятий по профессиональному развитию гражданских служащих, в должностные обязанности которых входит организация работы по противодействию коррупции, а также проведение закупок товаров, работ и услуг для обеспечения государственных нужд</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не реже одного раза в три года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4.9.</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Осуществление мер по повышению эффективности кадровой работы в части, касающейся ведения личных дел депутатов, замещающих государственные должности Камчатского края в Законодательном Собрании и должности государственной гражданской службы Камчатского края в аппарате Законодательного Собрания, в том числе контроля за актуализацией сведений, содержащихся в анкетах, предоставляемых при назначении на указанные должности, об их родственниках в целях выявления возможного конфликта интересов</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4.10.</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Осуществление контроля за соблюдением гражданским служащим требований федерального и краевого законодательства о государственной гражданской службе, организация проведение служебных проверок при несоблюдении ограничений и запретов, требований о предотвращении или урегулировании конфликта интересов, о неисполнении обязанностей, установленных в целях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4.11.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Контроль исполнения гражданскими служащими Кодекса этики и служебного поведения государственных гражданских служащих аппарата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4.12.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Контроль исполнения гражданскими служащими обязанности по предварительному уведомлению представителя нанимателя о выполнении иной оплачиваемой деятельности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5.</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правовому просвещению депутатов Законодательного Собрания,</w:t>
            </w:r>
          </w:p>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государственных гражданских служащих аппарата Законодательного Собрания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5.1.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комплекса организационных, разъяснительных и иных мер по соблюдению лицами, замещающими государственные должности Камчатского края в Законодательном Собрании, гражданскими служащими аппарата ограничений, запретов и исполнения обязанностей, установленных в целях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5.2.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Организация работы по информированию гражданских служащих, впервые назначенных на должность гражданской службы, с разъяснением основных обязанностей, запретов, ограничений, требований к служебному поведению, устанавливаемых нормативными правовыми актами Российской Федерации и Камчатского края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30 календарных дней со дня назначения на должность</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5.3.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Оказание лицам, замещающим государственные должности Камчатского края в Законодательном Собрании, и гражданским служащим консультационной помощи по вопросам реализации ими обязанностей, предусмотренных законодательством Российской Федерации и Камчатского края о противодействии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государственной службы, кадров и наград</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5.4.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Подготовка и размещение на официальном сайте Законодательного Собрания, в разделе «В помощь представительным органам местного самоуправления» в рубрике «Местное самоуправление», информации о текущих изменениях федерального и регионального законодательства в части полномочий органов местного самоуправления, в том числе по вопросам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по работе с фракциями, органами местного самоуправления и общественными организациями</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ежеквартально</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6.</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обеспечению взаимодействия с институтами гражданского общества,</w:t>
            </w:r>
          </w:p>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населением по вопросам противодействия коррупции</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Проведение публичных слушаний по проектам законов Камчатского края об исполнении краевого бюджета</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 согласно установленному законодательством сроку</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Проведение публичных слушаний по проектам законов Камчатского края на очередной финансовый год и плановый период </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Постоянный комитет по бюджетной, налоговой, экономической политике, вопросам собственности и предпринимательства</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 согласно установленному законодательством сроку</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участия представителей общественности, членов Общественной Палаты Камчатского края в сессиях, заседаниях постоянных комитетов, в иных мероприятиях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Постоянные комитеты</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6.4.</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участия членов Общественных советов, созданных при постоянных комитетах Законодательного Собрания, в заседаниях и иных мероприятиях постоянных комитетов</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Постоянные комитеты</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6.5.</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Взаимодействие с общественными объединениями, созданными в целях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Постоянные комитеты</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6.6.</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Участие в мероприятиях федерального и регионального значения, проводимых по вопросам противодействия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Депутаты постоянных комитетов, государственные гражданские служащие аппарата Законодательного Собрания</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6.7.</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Анализ поступающих в Законодательное Собрание обращений граждан на предмет содержания в них информации о фактах коррупции</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организации документооборота и работы с обращениями граждан</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6.8.</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работы «телефона доверия» в рамках реализации права граждан на обращение к депутатам Законодательного Собрания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организации документооборота и работы с обращениями граждан</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6.9.</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Обеспечение возможности предоставления гражданами и организациями информации о фактах коррупции в Законодательном Собрании Камчатского края посредством функционирования «электронных ящиков» на официальном сайте Законодательного Собрания Камчатского края</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организации документооборота и работы с обращениями граждан</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в течение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6.10.</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Сбор и анализ информации о соблюдении депутатами представительных органов местного самоуправления муниципальных образований в Камчатском крае антикоррупционного законодательства в части предоставления сведений о доходах, расходах, об имуществе и обязательствах имущественного характера своих и своего супруга (супруги) и несовершеннолетних детей</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по работе с фракциями, органами местного самоуправления и общественными организациями</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ежегодно до 1 июля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7.</w:t>
            </w:r>
          </w:p>
        </w:tc>
        <w:tc>
          <w:tcPr>
            <w:tcW w:w="8466" w:type="dxa"/>
            <w:gridSpan w:val="3"/>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Мероприятия по обеспечению открытости и доступности информации о работе</w:t>
            </w:r>
          </w:p>
          <w:p w:rsidR="001766B7" w:rsidRPr="001766B7" w:rsidRDefault="001766B7" w:rsidP="001766B7">
            <w:pPr>
              <w:spacing w:after="0" w:line="240" w:lineRule="auto"/>
              <w:ind w:left="120" w:right="120"/>
              <w:rPr>
                <w:rFonts w:ascii="Arial" w:eastAsia="Times New Roman" w:hAnsi="Arial" w:cs="Arial"/>
                <w:sz w:val="18"/>
                <w:szCs w:val="18"/>
                <w:lang w:eastAsia="ru-RU"/>
              </w:rPr>
            </w:pPr>
            <w:r w:rsidRPr="001766B7">
              <w:rPr>
                <w:rFonts w:ascii="Arial" w:eastAsia="Times New Roman" w:hAnsi="Arial" w:cs="Arial"/>
                <w:b/>
                <w:bCs/>
                <w:sz w:val="18"/>
                <w:szCs w:val="18"/>
                <w:lang w:eastAsia="ru-RU"/>
              </w:rPr>
              <w:t>Законодательного Собрания</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7.1.</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Размещение на официальном сайте Законодательного</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Собрания в сети «Интернет» отчетов о работе, в том числе по противодействию коррупции и пресс-релизов о деятельности краевого парламента по данной тематике</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Депутаты постоянных комитетов Законодательного Собрания</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информационно-аналитического обеспечения деятельности Законодательного Собрания</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пресс-службы</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w:t>
            </w:r>
          </w:p>
          <w:p w:rsidR="001766B7" w:rsidRPr="001766B7" w:rsidRDefault="001766B7" w:rsidP="001766B7">
            <w:pPr>
              <w:spacing w:after="360" w:line="240" w:lineRule="auto"/>
              <w:ind w:left="120" w:right="120"/>
              <w:rPr>
                <w:rFonts w:ascii="Arial" w:eastAsia="Times New Roman" w:hAnsi="Arial" w:cs="Arial"/>
                <w:sz w:val="18"/>
                <w:szCs w:val="18"/>
                <w:lang w:eastAsia="ru-RU"/>
              </w:rPr>
            </w:pPr>
            <w:r>
              <w:rPr>
                <w:rFonts w:ascii="Arial" w:eastAsia="Times New Roman" w:hAnsi="Arial" w:cs="Arial"/>
                <w:sz w:val="18"/>
                <w:szCs w:val="18"/>
                <w:lang w:eastAsia="ru-RU"/>
              </w:rPr>
              <w:t>в течение</w:t>
            </w:r>
            <w:bookmarkStart w:id="0" w:name="_GoBack"/>
            <w:bookmarkEnd w:id="0"/>
            <w:r w:rsidRPr="001766B7">
              <w:rPr>
                <w:rFonts w:ascii="Arial" w:eastAsia="Times New Roman" w:hAnsi="Arial" w:cs="Arial"/>
                <w:sz w:val="18"/>
                <w:szCs w:val="18"/>
                <w:lang w:eastAsia="ru-RU"/>
              </w:rPr>
              <w:t xml:space="preserve"> 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7.2.</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Обеспечение функционирования системы прямой видеотрансляции сессий </w:t>
            </w:r>
            <w:r w:rsidRPr="001766B7">
              <w:rPr>
                <w:rFonts w:ascii="Arial" w:eastAsia="Times New Roman" w:hAnsi="Arial" w:cs="Arial"/>
                <w:sz w:val="18"/>
                <w:szCs w:val="18"/>
                <w:lang w:eastAsia="ru-RU"/>
              </w:rPr>
              <w:lastRenderedPageBreak/>
              <w:t>Законодательного Собрания в ИТС «Интернет»</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Отдел информационных технологий</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 xml:space="preserve">постоянно в течение </w:t>
            </w:r>
            <w:r w:rsidRPr="001766B7">
              <w:rPr>
                <w:rFonts w:ascii="Arial" w:eastAsia="Times New Roman" w:hAnsi="Arial" w:cs="Arial"/>
                <w:sz w:val="18"/>
                <w:szCs w:val="18"/>
                <w:lang w:eastAsia="ru-RU"/>
              </w:rPr>
              <w:lastRenderedPageBreak/>
              <w:t>планового периода</w:t>
            </w:r>
          </w:p>
        </w:tc>
      </w:tr>
      <w:tr w:rsidR="001766B7" w:rsidRPr="001766B7" w:rsidTr="001766B7">
        <w:tc>
          <w:tcPr>
            <w:tcW w:w="882"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lastRenderedPageBreak/>
              <w:t>7.3.</w:t>
            </w:r>
          </w:p>
        </w:tc>
        <w:tc>
          <w:tcPr>
            <w:tcW w:w="4355"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Освещение работы Законодательного Собрания и депутатов по внесению изменений в краевые законы, постановления Законодательного Собрания по вопросам противодействия коррупции, гражданской службы</w:t>
            </w:r>
          </w:p>
        </w:tc>
        <w:tc>
          <w:tcPr>
            <w:tcW w:w="2410"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Отдел пресс-службы</w:t>
            </w:r>
          </w:p>
        </w:tc>
        <w:tc>
          <w:tcPr>
            <w:tcW w:w="1701" w:type="dxa"/>
            <w:tcBorders>
              <w:top w:val="single" w:sz="6" w:space="0" w:color="00537A"/>
              <w:left w:val="single" w:sz="6" w:space="0" w:color="00537A"/>
              <w:bottom w:val="single" w:sz="6" w:space="0" w:color="00537A"/>
              <w:right w:val="single" w:sz="6" w:space="0" w:color="00537A"/>
            </w:tcBorders>
            <w:shd w:val="clear" w:color="auto" w:fill="FFFFFF"/>
            <w:tcMar>
              <w:top w:w="120" w:type="dxa"/>
              <w:left w:w="120" w:type="dxa"/>
              <w:bottom w:w="120" w:type="dxa"/>
              <w:right w:w="120" w:type="dxa"/>
            </w:tcMar>
            <w:vAlign w:val="center"/>
            <w:hideMark/>
          </w:tcPr>
          <w:p w:rsidR="001766B7" w:rsidRPr="001766B7" w:rsidRDefault="001766B7" w:rsidP="001766B7">
            <w:pPr>
              <w:spacing w:after="360" w:line="240" w:lineRule="auto"/>
              <w:ind w:left="120" w:right="120"/>
              <w:rPr>
                <w:rFonts w:ascii="Arial" w:eastAsia="Times New Roman" w:hAnsi="Arial" w:cs="Arial"/>
                <w:sz w:val="18"/>
                <w:szCs w:val="18"/>
                <w:lang w:eastAsia="ru-RU"/>
              </w:rPr>
            </w:pPr>
            <w:r w:rsidRPr="001766B7">
              <w:rPr>
                <w:rFonts w:ascii="Arial" w:eastAsia="Times New Roman" w:hAnsi="Arial" w:cs="Arial"/>
                <w:sz w:val="18"/>
                <w:szCs w:val="18"/>
                <w:lang w:eastAsia="ru-RU"/>
              </w:rPr>
              <w:t>постоянно в течение планового периода</w:t>
            </w:r>
          </w:p>
        </w:tc>
      </w:tr>
    </w:tbl>
    <w:p w:rsidR="00AA2D49" w:rsidRPr="001766B7" w:rsidRDefault="00AA2D49" w:rsidP="001766B7"/>
    <w:sectPr w:rsidR="00AA2D49" w:rsidRPr="001766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C9B"/>
    <w:rsid w:val="001766B7"/>
    <w:rsid w:val="00A15C9B"/>
    <w:rsid w:val="00AA2D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8787F"/>
  <w15:chartTrackingRefBased/>
  <w15:docId w15:val="{9AAB1C4E-0D0A-46BC-BDC8-FD364CC6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66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66B7"/>
    <w:rPr>
      <w:b/>
      <w:bCs/>
    </w:rPr>
  </w:style>
  <w:style w:type="character" w:styleId="a5">
    <w:name w:val="Emphasis"/>
    <w:basedOn w:val="a0"/>
    <w:uiPriority w:val="20"/>
    <w:qFormat/>
    <w:rsid w:val="001766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20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2794</Words>
  <Characters>15931</Characters>
  <Application>Microsoft Office Word</Application>
  <DocSecurity>0</DocSecurity>
  <Lines>132</Lines>
  <Paragraphs>37</Paragraphs>
  <ScaleCrop>false</ScaleCrop>
  <Company/>
  <LinksUpToDate>false</LinksUpToDate>
  <CharactersWithSpaces>18688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Ужанов Сергей Борисович</dc:creator>
  <cp:keywords/>
  <dc:description/>
  <cp:lastModifiedBy>Ужанов Сергей Борисович</cp:lastModifiedBy>
  <cp:revision>2</cp:revision>
  <dcterms:created xsi:type="dcterms:W3CDTF">2022-07-14T00:59:00Z</dcterms:created>
  <dcterms:modified xsi:type="dcterms:W3CDTF">2022-07-14T01:01:00Z</dcterms:modified>
</cp:coreProperties>
</file>